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EA597" w14:textId="0E0357EB" w:rsidR="006721BD" w:rsidRDefault="006721BD" w:rsidP="006721BD"/>
    <w:p w14:paraId="31507F7B" w14:textId="77777777" w:rsidR="006721BD" w:rsidRPr="006721BD" w:rsidRDefault="006721BD" w:rsidP="006721BD"/>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5"/>
      </w:tblGrid>
      <w:tr w:rsidR="006721BD" w:rsidRPr="007209D2" w14:paraId="17AD4871" w14:textId="77777777" w:rsidTr="00753FC9">
        <w:tc>
          <w:tcPr>
            <w:tcW w:w="5000" w:type="pct"/>
            <w:tcBorders>
              <w:top w:val="nil"/>
              <w:left w:val="single" w:sz="12" w:space="0" w:color="007336"/>
              <w:bottom w:val="nil"/>
              <w:right w:val="nil"/>
            </w:tcBorders>
            <w:shd w:val="clear" w:color="auto" w:fill="auto"/>
            <w:hideMark/>
          </w:tcPr>
          <w:p w14:paraId="3ECB489B" w14:textId="77777777" w:rsidR="007209D2" w:rsidRPr="007209D2" w:rsidRDefault="007209D2" w:rsidP="007209D2">
            <w:pPr>
              <w:spacing w:after="0" w:line="240" w:lineRule="auto"/>
              <w:textAlignment w:val="baseline"/>
              <w:rPr>
                <w:rFonts w:ascii="Segoe UI" w:eastAsia="Times New Roman" w:hAnsi="Segoe UI" w:cs="Segoe UI"/>
                <w:color w:val="0070C0"/>
                <w:sz w:val="18"/>
                <w:szCs w:val="18"/>
              </w:rPr>
            </w:pPr>
            <w:r w:rsidRPr="007209D2">
              <w:rPr>
                <w:rFonts w:ascii="Calibri" w:eastAsia="Times New Roman" w:hAnsi="Calibri" w:cs="Calibri"/>
                <w:color w:val="0070C0"/>
                <w:shd w:val="clear" w:color="auto" w:fill="E1E3E6"/>
              </w:rPr>
              <w:t>State of New Hampshire</w:t>
            </w:r>
            <w:r w:rsidRPr="007209D2">
              <w:rPr>
                <w:rFonts w:ascii="Times New Roman" w:eastAsia="Times New Roman" w:hAnsi="Times New Roman" w:cs="Times New Roman"/>
                <w:color w:val="0070C0"/>
                <w:sz w:val="24"/>
                <w:szCs w:val="24"/>
              </w:rPr>
              <w:t> </w:t>
            </w:r>
          </w:p>
        </w:tc>
      </w:tr>
      <w:tr w:rsidR="007209D2" w:rsidRPr="007209D2" w14:paraId="176E76FF" w14:textId="77777777" w:rsidTr="00753FC9">
        <w:tc>
          <w:tcPr>
            <w:tcW w:w="5000" w:type="pct"/>
            <w:tcBorders>
              <w:top w:val="nil"/>
              <w:left w:val="single" w:sz="12" w:space="0" w:color="007336"/>
              <w:bottom w:val="nil"/>
              <w:right w:val="nil"/>
            </w:tcBorders>
            <w:shd w:val="clear" w:color="auto" w:fill="auto"/>
            <w:hideMark/>
          </w:tcPr>
          <w:p w14:paraId="59A77E0E" w14:textId="77777777" w:rsidR="00A0039C" w:rsidRDefault="00EE3074" w:rsidP="00A0039C">
            <w:pPr>
              <w:pStyle w:val="Title"/>
              <w:rPr>
                <w:rFonts w:eastAsia="Times New Roman"/>
                <w:color w:val="0070C0"/>
              </w:rPr>
            </w:pPr>
            <w:r w:rsidRPr="00113EBD">
              <w:t>Desk Reference for New Hampshire Recipients of Local Fiscal Recovery Funds: Complying with Federal Uniform Guidance</w:t>
            </w:r>
            <w:r w:rsidRPr="00753FC9" w:rsidDel="00EE3074">
              <w:rPr>
                <w:rFonts w:eastAsia="Times New Roman"/>
                <w:color w:val="0070C0"/>
              </w:rPr>
              <w:t xml:space="preserve"> </w:t>
            </w:r>
          </w:p>
          <w:p w14:paraId="0C9E2F43" w14:textId="73A34553" w:rsidR="007209D2" w:rsidRPr="007209D2" w:rsidRDefault="006721BD" w:rsidP="007209D2">
            <w:pPr>
              <w:spacing w:after="0" w:line="240" w:lineRule="auto"/>
              <w:textAlignment w:val="baseline"/>
              <w:rPr>
                <w:rFonts w:ascii="Arial" w:eastAsia="Times New Roman" w:hAnsi="Arial" w:cs="Arial"/>
                <w:b/>
                <w:bCs/>
                <w:color w:val="4472C4"/>
                <w:sz w:val="36"/>
                <w:szCs w:val="36"/>
              </w:rPr>
            </w:pPr>
            <w:r>
              <w:rPr>
                <w:rStyle w:val="normaltextrun"/>
                <w:rFonts w:ascii="Calibri" w:hAnsi="Calibri" w:cs="Calibri"/>
                <w:color w:val="4472C4"/>
                <w:bdr w:val="none" w:sz="0" w:space="0" w:color="auto" w:frame="1"/>
              </w:rPr>
              <w:t>New Hampshire Governor’s Office for Emergency Relief and Recovery</w:t>
            </w:r>
          </w:p>
          <w:p w14:paraId="6DC0C5BB" w14:textId="5ACB4391" w:rsidR="007209D2" w:rsidRPr="007209D2" w:rsidRDefault="007209D2" w:rsidP="007209D2">
            <w:pPr>
              <w:spacing w:after="0" w:line="240" w:lineRule="auto"/>
              <w:textAlignment w:val="baseline"/>
              <w:rPr>
                <w:rFonts w:ascii="Segoe UI" w:eastAsia="Times New Roman" w:hAnsi="Segoe UI" w:cs="Segoe UI"/>
                <w:sz w:val="18"/>
                <w:szCs w:val="18"/>
              </w:rPr>
            </w:pPr>
          </w:p>
        </w:tc>
      </w:tr>
    </w:tbl>
    <w:p w14:paraId="65FA8E80" w14:textId="5839C1A1" w:rsidR="00790D53" w:rsidRDefault="00790D53" w:rsidP="00790D53"/>
    <w:p w14:paraId="32E6F00E" w14:textId="77777777" w:rsidR="00A0039C" w:rsidRDefault="00A0039C" w:rsidP="00121572"/>
    <w:p w14:paraId="4019F443" w14:textId="4E3BDCE7" w:rsidR="000D221E" w:rsidRPr="0090604C" w:rsidRDefault="00790D53" w:rsidP="000D221E">
      <w:pPr>
        <w:pStyle w:val="NoSpacing"/>
      </w:pPr>
      <w:r w:rsidRPr="00790D53">
        <w:t xml:space="preserve">The purpose of this </w:t>
      </w:r>
      <w:r w:rsidR="0083582A">
        <w:t>desk reference</w:t>
      </w:r>
      <w:r w:rsidR="0083582A" w:rsidRPr="00790D53">
        <w:t xml:space="preserve"> </w:t>
      </w:r>
      <w:r w:rsidRPr="00790D53">
        <w:t xml:space="preserve">is to </w:t>
      </w:r>
      <w:r w:rsidR="00AA0BF9">
        <w:t>summarize federal Uniform Guidance requirements</w:t>
      </w:r>
      <w:r w:rsidR="008C4B40">
        <w:rPr>
          <w:rStyle w:val="FootnoteReference"/>
        </w:rPr>
        <w:footnoteReference w:id="2"/>
      </w:r>
      <w:r w:rsidR="00D601CB">
        <w:t xml:space="preserve"> </w:t>
      </w:r>
      <w:r w:rsidR="00AA0BF9">
        <w:t>that are applicable to New Hampshire local governm</w:t>
      </w:r>
      <w:r w:rsidR="00D6537A">
        <w:t xml:space="preserve">ents that received </w:t>
      </w:r>
      <w:r w:rsidR="004109DC">
        <w:t xml:space="preserve">Coronavirus </w:t>
      </w:r>
      <w:r w:rsidR="00D6537A">
        <w:t>Local Fiscal Recovery Funds (</w:t>
      </w:r>
      <w:r w:rsidR="005B4FA3">
        <w:t>LFRFs</w:t>
      </w:r>
      <w:r w:rsidR="00D6537A">
        <w:t>) as established by the American Rescue Plan Act (ARPA)</w:t>
      </w:r>
      <w:r w:rsidRPr="00790D53">
        <w:t xml:space="preserve">. </w:t>
      </w:r>
      <w:r w:rsidR="000D221E">
        <w:t>T</w:t>
      </w:r>
      <w:r w:rsidR="00B264D4">
        <w:t xml:space="preserve">he scope of this desk reference does not cover other ARPA funding streams </w:t>
      </w:r>
      <w:r w:rsidR="000D221E">
        <w:t xml:space="preserve">such as the Capital Projects Fund </w:t>
      </w:r>
      <w:r w:rsidR="000D221E" w:rsidRPr="00CF22D5">
        <w:t xml:space="preserve">that </w:t>
      </w:r>
      <w:r w:rsidR="000D221E">
        <w:t>classify</w:t>
      </w:r>
      <w:r w:rsidR="000D221E" w:rsidRPr="00CF22D5">
        <w:t xml:space="preserve"> NEUs </w:t>
      </w:r>
      <w:r w:rsidR="000D221E">
        <w:t xml:space="preserve">solely </w:t>
      </w:r>
      <w:r w:rsidR="000D221E" w:rsidRPr="00CF22D5">
        <w:t>as subrecipients and not prime recipients</w:t>
      </w:r>
      <w:r w:rsidR="0090604C">
        <w:t xml:space="preserve"> of funds</w:t>
      </w:r>
      <w:r w:rsidR="000D221E" w:rsidRPr="00E85DD2">
        <w:rPr>
          <w:i/>
          <w:iCs/>
        </w:rPr>
        <w:t xml:space="preserve">. </w:t>
      </w:r>
    </w:p>
    <w:p w14:paraId="7A552E57" w14:textId="3EBC8735" w:rsidR="00121572" w:rsidRDefault="00121572" w:rsidP="00121572"/>
    <w:p w14:paraId="29ABA235" w14:textId="77777777" w:rsidR="00A0039C" w:rsidRDefault="00A0039C" w:rsidP="00121572"/>
    <w:p w14:paraId="0DA506E6" w14:textId="4EFD1C37" w:rsidR="00706A6A" w:rsidRDefault="00706A6A" w:rsidP="00121572">
      <w:r>
        <w:t xml:space="preserve">Last updated: </w:t>
      </w:r>
      <w:r w:rsidR="002A0C56">
        <w:t>January 25, 2022</w:t>
      </w:r>
    </w:p>
    <w:p w14:paraId="5E055B5A" w14:textId="0E8E7100" w:rsidR="00520394" w:rsidRDefault="00520394">
      <w:r>
        <w:br w:type="page"/>
      </w:r>
    </w:p>
    <w:p w14:paraId="0991D6A8" w14:textId="77777777" w:rsidR="00520394" w:rsidRDefault="00520394" w:rsidP="00121572"/>
    <w:sdt>
      <w:sdtPr>
        <w:rPr>
          <w:rFonts w:asciiTheme="minorHAnsi" w:eastAsiaTheme="minorHAnsi" w:hAnsiTheme="minorHAnsi" w:cstheme="minorBidi"/>
          <w:color w:val="auto"/>
          <w:sz w:val="22"/>
          <w:szCs w:val="22"/>
        </w:rPr>
        <w:id w:val="-1755811365"/>
        <w:docPartObj>
          <w:docPartGallery w:val="Table of Contents"/>
          <w:docPartUnique/>
        </w:docPartObj>
      </w:sdtPr>
      <w:sdtEndPr>
        <w:rPr>
          <w:b/>
          <w:bCs/>
          <w:noProof/>
        </w:rPr>
      </w:sdtEndPr>
      <w:sdtContent>
        <w:p w14:paraId="2A7ABFCB" w14:textId="6F0A39C0" w:rsidR="00121572" w:rsidRDefault="001E378F">
          <w:pPr>
            <w:pStyle w:val="TOCHeading"/>
          </w:pPr>
          <w:r>
            <w:t xml:space="preserve">Table of </w:t>
          </w:r>
          <w:r w:rsidR="00121572">
            <w:t>Contents</w:t>
          </w:r>
        </w:p>
        <w:p w14:paraId="36091722" w14:textId="4F69E7EA" w:rsidR="002C18BC" w:rsidRDefault="00121572">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85441993" w:history="1">
            <w:r w:rsidR="002C18BC" w:rsidRPr="00F12632">
              <w:rPr>
                <w:rStyle w:val="Hyperlink"/>
                <w:noProof/>
              </w:rPr>
              <w:t>Definitions and Background</w:t>
            </w:r>
            <w:r w:rsidR="002C18BC">
              <w:rPr>
                <w:noProof/>
                <w:webHidden/>
              </w:rPr>
              <w:tab/>
            </w:r>
            <w:r w:rsidR="002C18BC">
              <w:rPr>
                <w:noProof/>
                <w:webHidden/>
              </w:rPr>
              <w:fldChar w:fldCharType="begin"/>
            </w:r>
            <w:r w:rsidR="002C18BC">
              <w:rPr>
                <w:noProof/>
                <w:webHidden/>
              </w:rPr>
              <w:instrText xml:space="preserve"> PAGEREF _Toc85441993 \h </w:instrText>
            </w:r>
            <w:r w:rsidR="002C18BC">
              <w:rPr>
                <w:noProof/>
                <w:webHidden/>
              </w:rPr>
            </w:r>
            <w:r w:rsidR="002C18BC">
              <w:rPr>
                <w:noProof/>
                <w:webHidden/>
              </w:rPr>
              <w:fldChar w:fldCharType="separate"/>
            </w:r>
            <w:r w:rsidR="002C18BC">
              <w:rPr>
                <w:noProof/>
                <w:webHidden/>
              </w:rPr>
              <w:t>3</w:t>
            </w:r>
            <w:r w:rsidR="002C18BC">
              <w:rPr>
                <w:noProof/>
                <w:webHidden/>
              </w:rPr>
              <w:fldChar w:fldCharType="end"/>
            </w:r>
          </w:hyperlink>
        </w:p>
        <w:p w14:paraId="15C9360A" w14:textId="47381B37" w:rsidR="002C18BC" w:rsidRDefault="00D67575">
          <w:pPr>
            <w:pStyle w:val="TOC2"/>
            <w:tabs>
              <w:tab w:val="right" w:leader="dot" w:pos="9350"/>
            </w:tabs>
            <w:rPr>
              <w:rFonts w:eastAsiaTheme="minorEastAsia"/>
              <w:noProof/>
            </w:rPr>
          </w:pPr>
          <w:hyperlink w:anchor="_Toc85441994" w:history="1">
            <w:r w:rsidR="002C18BC" w:rsidRPr="00F12632">
              <w:rPr>
                <w:rStyle w:val="Hyperlink"/>
                <w:noProof/>
              </w:rPr>
              <w:t>What is a Non-Entitlement Unit of Government (NEU)?</w:t>
            </w:r>
            <w:r w:rsidR="002C18BC">
              <w:rPr>
                <w:noProof/>
                <w:webHidden/>
              </w:rPr>
              <w:tab/>
            </w:r>
            <w:r w:rsidR="002C18BC">
              <w:rPr>
                <w:noProof/>
                <w:webHidden/>
              </w:rPr>
              <w:fldChar w:fldCharType="begin"/>
            </w:r>
            <w:r w:rsidR="002C18BC">
              <w:rPr>
                <w:noProof/>
                <w:webHidden/>
              </w:rPr>
              <w:instrText xml:space="preserve"> PAGEREF _Toc85441994 \h </w:instrText>
            </w:r>
            <w:r w:rsidR="002C18BC">
              <w:rPr>
                <w:noProof/>
                <w:webHidden/>
              </w:rPr>
            </w:r>
            <w:r w:rsidR="002C18BC">
              <w:rPr>
                <w:noProof/>
                <w:webHidden/>
              </w:rPr>
              <w:fldChar w:fldCharType="separate"/>
            </w:r>
            <w:r w:rsidR="002C18BC">
              <w:rPr>
                <w:noProof/>
                <w:webHidden/>
              </w:rPr>
              <w:t>3</w:t>
            </w:r>
            <w:r w:rsidR="002C18BC">
              <w:rPr>
                <w:noProof/>
                <w:webHidden/>
              </w:rPr>
              <w:fldChar w:fldCharType="end"/>
            </w:r>
          </w:hyperlink>
        </w:p>
        <w:p w14:paraId="632AEA6F" w14:textId="360259D2" w:rsidR="002C18BC" w:rsidRDefault="00D67575">
          <w:pPr>
            <w:pStyle w:val="TOC2"/>
            <w:tabs>
              <w:tab w:val="right" w:leader="dot" w:pos="9350"/>
            </w:tabs>
            <w:rPr>
              <w:rFonts w:eastAsiaTheme="minorEastAsia"/>
              <w:noProof/>
            </w:rPr>
          </w:pPr>
          <w:hyperlink w:anchor="_Toc85441995" w:history="1">
            <w:r w:rsidR="002C18BC" w:rsidRPr="00F12632">
              <w:rPr>
                <w:rStyle w:val="Hyperlink"/>
                <w:noProof/>
              </w:rPr>
              <w:t>What is a Prime Recipient?</w:t>
            </w:r>
            <w:r w:rsidR="002C18BC">
              <w:rPr>
                <w:noProof/>
                <w:webHidden/>
              </w:rPr>
              <w:tab/>
            </w:r>
            <w:r w:rsidR="002C18BC">
              <w:rPr>
                <w:noProof/>
                <w:webHidden/>
              </w:rPr>
              <w:fldChar w:fldCharType="begin"/>
            </w:r>
            <w:r w:rsidR="002C18BC">
              <w:rPr>
                <w:noProof/>
                <w:webHidden/>
              </w:rPr>
              <w:instrText xml:space="preserve"> PAGEREF _Toc85441995 \h </w:instrText>
            </w:r>
            <w:r w:rsidR="002C18BC">
              <w:rPr>
                <w:noProof/>
                <w:webHidden/>
              </w:rPr>
            </w:r>
            <w:r w:rsidR="002C18BC">
              <w:rPr>
                <w:noProof/>
                <w:webHidden/>
              </w:rPr>
              <w:fldChar w:fldCharType="separate"/>
            </w:r>
            <w:r w:rsidR="002C18BC">
              <w:rPr>
                <w:noProof/>
                <w:webHidden/>
              </w:rPr>
              <w:t>3</w:t>
            </w:r>
            <w:r w:rsidR="002C18BC">
              <w:rPr>
                <w:noProof/>
                <w:webHidden/>
              </w:rPr>
              <w:fldChar w:fldCharType="end"/>
            </w:r>
          </w:hyperlink>
        </w:p>
        <w:p w14:paraId="00708523" w14:textId="1E712C09" w:rsidR="002C18BC" w:rsidRDefault="00D67575">
          <w:pPr>
            <w:pStyle w:val="TOC2"/>
            <w:tabs>
              <w:tab w:val="right" w:leader="dot" w:pos="9350"/>
            </w:tabs>
            <w:rPr>
              <w:rFonts w:eastAsiaTheme="minorEastAsia"/>
              <w:noProof/>
            </w:rPr>
          </w:pPr>
          <w:hyperlink w:anchor="_Toc85441996" w:history="1">
            <w:r w:rsidR="002C18BC" w:rsidRPr="00F12632">
              <w:rPr>
                <w:rStyle w:val="Hyperlink"/>
                <w:noProof/>
              </w:rPr>
              <w:t>What is a Subrecipient?</w:t>
            </w:r>
            <w:r w:rsidR="002C18BC">
              <w:rPr>
                <w:noProof/>
                <w:webHidden/>
              </w:rPr>
              <w:tab/>
            </w:r>
            <w:r w:rsidR="002C18BC">
              <w:rPr>
                <w:noProof/>
                <w:webHidden/>
              </w:rPr>
              <w:fldChar w:fldCharType="begin"/>
            </w:r>
            <w:r w:rsidR="002C18BC">
              <w:rPr>
                <w:noProof/>
                <w:webHidden/>
              </w:rPr>
              <w:instrText xml:space="preserve"> PAGEREF _Toc85441996 \h </w:instrText>
            </w:r>
            <w:r w:rsidR="002C18BC">
              <w:rPr>
                <w:noProof/>
                <w:webHidden/>
              </w:rPr>
            </w:r>
            <w:r w:rsidR="002C18BC">
              <w:rPr>
                <w:noProof/>
                <w:webHidden/>
              </w:rPr>
              <w:fldChar w:fldCharType="separate"/>
            </w:r>
            <w:r w:rsidR="002C18BC">
              <w:rPr>
                <w:noProof/>
                <w:webHidden/>
              </w:rPr>
              <w:t>3</w:t>
            </w:r>
            <w:r w:rsidR="002C18BC">
              <w:rPr>
                <w:noProof/>
                <w:webHidden/>
              </w:rPr>
              <w:fldChar w:fldCharType="end"/>
            </w:r>
          </w:hyperlink>
        </w:p>
        <w:p w14:paraId="77B036E6" w14:textId="287F9666" w:rsidR="002C18BC" w:rsidRDefault="00D67575">
          <w:pPr>
            <w:pStyle w:val="TOC2"/>
            <w:tabs>
              <w:tab w:val="right" w:leader="dot" w:pos="9350"/>
            </w:tabs>
            <w:rPr>
              <w:rFonts w:eastAsiaTheme="minorEastAsia"/>
              <w:noProof/>
            </w:rPr>
          </w:pPr>
          <w:hyperlink w:anchor="_Toc85441997" w:history="1">
            <w:r w:rsidR="002C18BC" w:rsidRPr="00F12632">
              <w:rPr>
                <w:rStyle w:val="Hyperlink"/>
                <w:noProof/>
              </w:rPr>
              <w:t>What is a Contractor?</w:t>
            </w:r>
            <w:r w:rsidR="002C18BC">
              <w:rPr>
                <w:noProof/>
                <w:webHidden/>
              </w:rPr>
              <w:tab/>
            </w:r>
            <w:r w:rsidR="002C18BC">
              <w:rPr>
                <w:noProof/>
                <w:webHidden/>
              </w:rPr>
              <w:fldChar w:fldCharType="begin"/>
            </w:r>
            <w:r w:rsidR="002C18BC">
              <w:rPr>
                <w:noProof/>
                <w:webHidden/>
              </w:rPr>
              <w:instrText xml:space="preserve"> PAGEREF _Toc85441997 \h </w:instrText>
            </w:r>
            <w:r w:rsidR="002C18BC">
              <w:rPr>
                <w:noProof/>
                <w:webHidden/>
              </w:rPr>
            </w:r>
            <w:r w:rsidR="002C18BC">
              <w:rPr>
                <w:noProof/>
                <w:webHidden/>
              </w:rPr>
              <w:fldChar w:fldCharType="separate"/>
            </w:r>
            <w:r w:rsidR="002C18BC">
              <w:rPr>
                <w:noProof/>
                <w:webHidden/>
              </w:rPr>
              <w:t>3</w:t>
            </w:r>
            <w:r w:rsidR="002C18BC">
              <w:rPr>
                <w:noProof/>
                <w:webHidden/>
              </w:rPr>
              <w:fldChar w:fldCharType="end"/>
            </w:r>
          </w:hyperlink>
        </w:p>
        <w:p w14:paraId="3E3715AF" w14:textId="64A4AEC1" w:rsidR="002C18BC" w:rsidRDefault="00D67575">
          <w:pPr>
            <w:pStyle w:val="TOC2"/>
            <w:tabs>
              <w:tab w:val="right" w:leader="dot" w:pos="9350"/>
            </w:tabs>
            <w:rPr>
              <w:rFonts w:eastAsiaTheme="minorEastAsia"/>
              <w:noProof/>
            </w:rPr>
          </w:pPr>
          <w:hyperlink w:anchor="_Toc85441998" w:history="1">
            <w:r w:rsidR="002C18BC" w:rsidRPr="00F12632">
              <w:rPr>
                <w:rStyle w:val="Hyperlink"/>
                <w:noProof/>
              </w:rPr>
              <w:t>What is a Beneficiary?</w:t>
            </w:r>
            <w:r w:rsidR="002C18BC">
              <w:rPr>
                <w:noProof/>
                <w:webHidden/>
              </w:rPr>
              <w:tab/>
            </w:r>
            <w:r w:rsidR="002C18BC">
              <w:rPr>
                <w:noProof/>
                <w:webHidden/>
              </w:rPr>
              <w:fldChar w:fldCharType="begin"/>
            </w:r>
            <w:r w:rsidR="002C18BC">
              <w:rPr>
                <w:noProof/>
                <w:webHidden/>
              </w:rPr>
              <w:instrText xml:space="preserve"> PAGEREF _Toc85441998 \h </w:instrText>
            </w:r>
            <w:r w:rsidR="002C18BC">
              <w:rPr>
                <w:noProof/>
                <w:webHidden/>
              </w:rPr>
            </w:r>
            <w:r w:rsidR="002C18BC">
              <w:rPr>
                <w:noProof/>
                <w:webHidden/>
              </w:rPr>
              <w:fldChar w:fldCharType="separate"/>
            </w:r>
            <w:r w:rsidR="002C18BC">
              <w:rPr>
                <w:noProof/>
                <w:webHidden/>
              </w:rPr>
              <w:t>3</w:t>
            </w:r>
            <w:r w:rsidR="002C18BC">
              <w:rPr>
                <w:noProof/>
                <w:webHidden/>
              </w:rPr>
              <w:fldChar w:fldCharType="end"/>
            </w:r>
          </w:hyperlink>
        </w:p>
        <w:p w14:paraId="6247B0D1" w14:textId="1857881E" w:rsidR="002C18BC" w:rsidRDefault="00D67575">
          <w:pPr>
            <w:pStyle w:val="TOC2"/>
            <w:tabs>
              <w:tab w:val="right" w:leader="dot" w:pos="9350"/>
            </w:tabs>
            <w:rPr>
              <w:rFonts w:eastAsiaTheme="minorEastAsia"/>
              <w:noProof/>
            </w:rPr>
          </w:pPr>
          <w:hyperlink w:anchor="_Toc85441999" w:history="1">
            <w:r w:rsidR="002C18BC" w:rsidRPr="00F12632">
              <w:rPr>
                <w:rStyle w:val="Hyperlink"/>
                <w:noProof/>
              </w:rPr>
              <w:t>How to Determine a Subrecipients vs. Contractors vs. Beneficiaries</w:t>
            </w:r>
            <w:r w:rsidR="002C18BC">
              <w:rPr>
                <w:noProof/>
                <w:webHidden/>
              </w:rPr>
              <w:tab/>
            </w:r>
            <w:r w:rsidR="002C18BC">
              <w:rPr>
                <w:noProof/>
                <w:webHidden/>
              </w:rPr>
              <w:fldChar w:fldCharType="begin"/>
            </w:r>
            <w:r w:rsidR="002C18BC">
              <w:rPr>
                <w:noProof/>
                <w:webHidden/>
              </w:rPr>
              <w:instrText xml:space="preserve"> PAGEREF _Toc85441999 \h </w:instrText>
            </w:r>
            <w:r w:rsidR="002C18BC">
              <w:rPr>
                <w:noProof/>
                <w:webHidden/>
              </w:rPr>
            </w:r>
            <w:r w:rsidR="002C18BC">
              <w:rPr>
                <w:noProof/>
                <w:webHidden/>
              </w:rPr>
              <w:fldChar w:fldCharType="separate"/>
            </w:r>
            <w:r w:rsidR="002C18BC">
              <w:rPr>
                <w:noProof/>
                <w:webHidden/>
              </w:rPr>
              <w:t>3</w:t>
            </w:r>
            <w:r w:rsidR="002C18BC">
              <w:rPr>
                <w:noProof/>
                <w:webHidden/>
              </w:rPr>
              <w:fldChar w:fldCharType="end"/>
            </w:r>
          </w:hyperlink>
        </w:p>
        <w:p w14:paraId="73571E62" w14:textId="60E7414C" w:rsidR="002C18BC" w:rsidRDefault="00D67575">
          <w:pPr>
            <w:pStyle w:val="TOC1"/>
            <w:tabs>
              <w:tab w:val="right" w:leader="dot" w:pos="9350"/>
            </w:tabs>
            <w:rPr>
              <w:rFonts w:eastAsiaTheme="minorEastAsia"/>
              <w:noProof/>
            </w:rPr>
          </w:pPr>
          <w:hyperlink w:anchor="_Toc85442000" w:history="1">
            <w:r w:rsidR="002C18BC" w:rsidRPr="00F12632">
              <w:rPr>
                <w:rStyle w:val="Hyperlink"/>
                <w:noProof/>
              </w:rPr>
              <w:t>What is Uniform Guidance (2 CFR 200), and how does it apply to the LFRF funds?</w:t>
            </w:r>
            <w:r w:rsidR="002C18BC">
              <w:rPr>
                <w:noProof/>
                <w:webHidden/>
              </w:rPr>
              <w:tab/>
            </w:r>
            <w:r w:rsidR="002C18BC">
              <w:rPr>
                <w:noProof/>
                <w:webHidden/>
              </w:rPr>
              <w:fldChar w:fldCharType="begin"/>
            </w:r>
            <w:r w:rsidR="002C18BC">
              <w:rPr>
                <w:noProof/>
                <w:webHidden/>
              </w:rPr>
              <w:instrText xml:space="preserve"> PAGEREF _Toc85442000 \h </w:instrText>
            </w:r>
            <w:r w:rsidR="002C18BC">
              <w:rPr>
                <w:noProof/>
                <w:webHidden/>
              </w:rPr>
            </w:r>
            <w:r w:rsidR="002C18BC">
              <w:rPr>
                <w:noProof/>
                <w:webHidden/>
              </w:rPr>
              <w:fldChar w:fldCharType="separate"/>
            </w:r>
            <w:r w:rsidR="002C18BC">
              <w:rPr>
                <w:noProof/>
                <w:webHidden/>
              </w:rPr>
              <w:t>5</w:t>
            </w:r>
            <w:r w:rsidR="002C18BC">
              <w:rPr>
                <w:noProof/>
                <w:webHidden/>
              </w:rPr>
              <w:fldChar w:fldCharType="end"/>
            </w:r>
          </w:hyperlink>
        </w:p>
        <w:p w14:paraId="70359B59" w14:textId="28341CB0" w:rsidR="002C18BC" w:rsidRDefault="00D67575">
          <w:pPr>
            <w:pStyle w:val="TOC1"/>
            <w:tabs>
              <w:tab w:val="right" w:leader="dot" w:pos="9350"/>
            </w:tabs>
            <w:rPr>
              <w:rFonts w:eastAsiaTheme="minorEastAsia"/>
              <w:noProof/>
            </w:rPr>
          </w:pPr>
          <w:hyperlink w:anchor="_Toc85442001" w:history="1">
            <w:r w:rsidR="002C18BC" w:rsidRPr="00F12632">
              <w:rPr>
                <w:rStyle w:val="Hyperlink"/>
                <w:noProof/>
              </w:rPr>
              <w:t>How can an NEU Prime Recipient spend the LFRF funds?</w:t>
            </w:r>
            <w:r w:rsidR="002C18BC">
              <w:rPr>
                <w:noProof/>
                <w:webHidden/>
              </w:rPr>
              <w:tab/>
            </w:r>
            <w:r w:rsidR="002C18BC">
              <w:rPr>
                <w:noProof/>
                <w:webHidden/>
              </w:rPr>
              <w:fldChar w:fldCharType="begin"/>
            </w:r>
            <w:r w:rsidR="002C18BC">
              <w:rPr>
                <w:noProof/>
                <w:webHidden/>
              </w:rPr>
              <w:instrText xml:space="preserve"> PAGEREF _Toc85442001 \h </w:instrText>
            </w:r>
            <w:r w:rsidR="002C18BC">
              <w:rPr>
                <w:noProof/>
                <w:webHidden/>
              </w:rPr>
            </w:r>
            <w:r w:rsidR="002C18BC">
              <w:rPr>
                <w:noProof/>
                <w:webHidden/>
              </w:rPr>
              <w:fldChar w:fldCharType="separate"/>
            </w:r>
            <w:r w:rsidR="002C18BC">
              <w:rPr>
                <w:noProof/>
                <w:webHidden/>
              </w:rPr>
              <w:t>8</w:t>
            </w:r>
            <w:r w:rsidR="002C18BC">
              <w:rPr>
                <w:noProof/>
                <w:webHidden/>
              </w:rPr>
              <w:fldChar w:fldCharType="end"/>
            </w:r>
          </w:hyperlink>
        </w:p>
        <w:p w14:paraId="53958803" w14:textId="2BE0C431" w:rsidR="002C18BC" w:rsidRDefault="00D67575">
          <w:pPr>
            <w:pStyle w:val="TOC2"/>
            <w:tabs>
              <w:tab w:val="right" w:leader="dot" w:pos="9350"/>
            </w:tabs>
            <w:rPr>
              <w:rFonts w:eastAsiaTheme="minorEastAsia"/>
              <w:noProof/>
            </w:rPr>
          </w:pPr>
          <w:hyperlink w:anchor="_Toc85442002" w:history="1">
            <w:r w:rsidR="002C18BC" w:rsidRPr="00F12632">
              <w:rPr>
                <w:rStyle w:val="Hyperlink"/>
                <w:noProof/>
              </w:rPr>
              <w:t xml:space="preserve">If NEUs choose to provide a </w:t>
            </w:r>
            <w:r w:rsidR="002C18BC" w:rsidRPr="00F12632">
              <w:rPr>
                <w:rStyle w:val="Hyperlink"/>
                <w:b/>
                <w:bCs/>
                <w:noProof/>
              </w:rPr>
              <w:t>subgrant</w:t>
            </w:r>
            <w:r w:rsidR="002C18BC" w:rsidRPr="00F12632">
              <w:rPr>
                <w:rStyle w:val="Hyperlink"/>
                <w:noProof/>
              </w:rPr>
              <w:t xml:space="preserve"> to a subrecipient, NEUs must:</w:t>
            </w:r>
            <w:r w:rsidR="002C18BC">
              <w:rPr>
                <w:noProof/>
                <w:webHidden/>
              </w:rPr>
              <w:tab/>
            </w:r>
            <w:r w:rsidR="002C18BC">
              <w:rPr>
                <w:noProof/>
                <w:webHidden/>
              </w:rPr>
              <w:fldChar w:fldCharType="begin"/>
            </w:r>
            <w:r w:rsidR="002C18BC">
              <w:rPr>
                <w:noProof/>
                <w:webHidden/>
              </w:rPr>
              <w:instrText xml:space="preserve"> PAGEREF _Toc85442002 \h </w:instrText>
            </w:r>
            <w:r w:rsidR="002C18BC">
              <w:rPr>
                <w:noProof/>
                <w:webHidden/>
              </w:rPr>
            </w:r>
            <w:r w:rsidR="002C18BC">
              <w:rPr>
                <w:noProof/>
                <w:webHidden/>
              </w:rPr>
              <w:fldChar w:fldCharType="separate"/>
            </w:r>
            <w:r w:rsidR="002C18BC">
              <w:rPr>
                <w:noProof/>
                <w:webHidden/>
              </w:rPr>
              <w:t>9</w:t>
            </w:r>
            <w:r w:rsidR="002C18BC">
              <w:rPr>
                <w:noProof/>
                <w:webHidden/>
              </w:rPr>
              <w:fldChar w:fldCharType="end"/>
            </w:r>
          </w:hyperlink>
        </w:p>
        <w:p w14:paraId="2A8FBD79" w14:textId="7CD5710C" w:rsidR="002C18BC" w:rsidRDefault="00D67575">
          <w:pPr>
            <w:pStyle w:val="TOC3"/>
            <w:tabs>
              <w:tab w:val="right" w:leader="dot" w:pos="9350"/>
            </w:tabs>
            <w:rPr>
              <w:rFonts w:eastAsiaTheme="minorEastAsia"/>
              <w:noProof/>
            </w:rPr>
          </w:pPr>
          <w:hyperlink w:anchor="_Toc85442003" w:history="1">
            <w:r w:rsidR="002C18BC" w:rsidRPr="00F12632">
              <w:rPr>
                <w:rStyle w:val="Hyperlink"/>
                <w:noProof/>
              </w:rPr>
              <w:t>Evaluate the subrecipient:</w:t>
            </w:r>
            <w:r w:rsidR="002C18BC">
              <w:rPr>
                <w:noProof/>
                <w:webHidden/>
              </w:rPr>
              <w:tab/>
            </w:r>
            <w:r w:rsidR="002C18BC">
              <w:rPr>
                <w:noProof/>
                <w:webHidden/>
              </w:rPr>
              <w:fldChar w:fldCharType="begin"/>
            </w:r>
            <w:r w:rsidR="002C18BC">
              <w:rPr>
                <w:noProof/>
                <w:webHidden/>
              </w:rPr>
              <w:instrText xml:space="preserve"> PAGEREF _Toc85442003 \h </w:instrText>
            </w:r>
            <w:r w:rsidR="002C18BC">
              <w:rPr>
                <w:noProof/>
                <w:webHidden/>
              </w:rPr>
            </w:r>
            <w:r w:rsidR="002C18BC">
              <w:rPr>
                <w:noProof/>
                <w:webHidden/>
              </w:rPr>
              <w:fldChar w:fldCharType="separate"/>
            </w:r>
            <w:r w:rsidR="002C18BC">
              <w:rPr>
                <w:noProof/>
                <w:webHidden/>
              </w:rPr>
              <w:t>9</w:t>
            </w:r>
            <w:r w:rsidR="002C18BC">
              <w:rPr>
                <w:noProof/>
                <w:webHidden/>
              </w:rPr>
              <w:fldChar w:fldCharType="end"/>
            </w:r>
          </w:hyperlink>
        </w:p>
        <w:p w14:paraId="67649163" w14:textId="5A820566" w:rsidR="002C18BC" w:rsidRDefault="00D67575">
          <w:pPr>
            <w:pStyle w:val="TOC3"/>
            <w:tabs>
              <w:tab w:val="right" w:leader="dot" w:pos="9350"/>
            </w:tabs>
            <w:rPr>
              <w:rFonts w:eastAsiaTheme="minorEastAsia"/>
              <w:noProof/>
            </w:rPr>
          </w:pPr>
          <w:hyperlink w:anchor="_Toc85442004" w:history="1">
            <w:r w:rsidR="002C18BC" w:rsidRPr="00F12632">
              <w:rPr>
                <w:rStyle w:val="Hyperlink"/>
                <w:noProof/>
              </w:rPr>
              <w:t>Create a Subgrant Award Agreement:</w:t>
            </w:r>
            <w:r w:rsidR="002C18BC">
              <w:rPr>
                <w:noProof/>
                <w:webHidden/>
              </w:rPr>
              <w:tab/>
            </w:r>
            <w:r w:rsidR="002C18BC">
              <w:rPr>
                <w:noProof/>
                <w:webHidden/>
              </w:rPr>
              <w:fldChar w:fldCharType="begin"/>
            </w:r>
            <w:r w:rsidR="002C18BC">
              <w:rPr>
                <w:noProof/>
                <w:webHidden/>
              </w:rPr>
              <w:instrText xml:space="preserve"> PAGEREF _Toc85442004 \h </w:instrText>
            </w:r>
            <w:r w:rsidR="002C18BC">
              <w:rPr>
                <w:noProof/>
                <w:webHidden/>
              </w:rPr>
            </w:r>
            <w:r w:rsidR="002C18BC">
              <w:rPr>
                <w:noProof/>
                <w:webHidden/>
              </w:rPr>
              <w:fldChar w:fldCharType="separate"/>
            </w:r>
            <w:r w:rsidR="002C18BC">
              <w:rPr>
                <w:noProof/>
                <w:webHidden/>
              </w:rPr>
              <w:t>9</w:t>
            </w:r>
            <w:r w:rsidR="002C18BC">
              <w:rPr>
                <w:noProof/>
                <w:webHidden/>
              </w:rPr>
              <w:fldChar w:fldCharType="end"/>
            </w:r>
          </w:hyperlink>
        </w:p>
        <w:p w14:paraId="182A7948" w14:textId="0FC19F9D" w:rsidR="002C18BC" w:rsidRDefault="00D67575">
          <w:pPr>
            <w:pStyle w:val="TOC3"/>
            <w:tabs>
              <w:tab w:val="right" w:leader="dot" w:pos="9350"/>
            </w:tabs>
            <w:rPr>
              <w:rFonts w:eastAsiaTheme="minorEastAsia"/>
              <w:noProof/>
            </w:rPr>
          </w:pPr>
          <w:hyperlink w:anchor="_Toc85442005" w:history="1">
            <w:r w:rsidR="002C18BC" w:rsidRPr="00F12632">
              <w:rPr>
                <w:rStyle w:val="Hyperlink"/>
                <w:noProof/>
              </w:rPr>
              <w:t>Monitor the subrecipient:</w:t>
            </w:r>
            <w:r w:rsidR="002C18BC">
              <w:rPr>
                <w:noProof/>
                <w:webHidden/>
              </w:rPr>
              <w:tab/>
            </w:r>
            <w:r w:rsidR="002C18BC">
              <w:rPr>
                <w:noProof/>
                <w:webHidden/>
              </w:rPr>
              <w:fldChar w:fldCharType="begin"/>
            </w:r>
            <w:r w:rsidR="002C18BC">
              <w:rPr>
                <w:noProof/>
                <w:webHidden/>
              </w:rPr>
              <w:instrText xml:space="preserve"> PAGEREF _Toc85442005 \h </w:instrText>
            </w:r>
            <w:r w:rsidR="002C18BC">
              <w:rPr>
                <w:noProof/>
                <w:webHidden/>
              </w:rPr>
            </w:r>
            <w:r w:rsidR="002C18BC">
              <w:rPr>
                <w:noProof/>
                <w:webHidden/>
              </w:rPr>
              <w:fldChar w:fldCharType="separate"/>
            </w:r>
            <w:r w:rsidR="002C18BC">
              <w:rPr>
                <w:noProof/>
                <w:webHidden/>
              </w:rPr>
              <w:t>9</w:t>
            </w:r>
            <w:r w:rsidR="002C18BC">
              <w:rPr>
                <w:noProof/>
                <w:webHidden/>
              </w:rPr>
              <w:fldChar w:fldCharType="end"/>
            </w:r>
          </w:hyperlink>
        </w:p>
        <w:p w14:paraId="307B6B5D" w14:textId="24FCAF70" w:rsidR="002C18BC" w:rsidRDefault="00D67575">
          <w:pPr>
            <w:pStyle w:val="TOC3"/>
            <w:tabs>
              <w:tab w:val="right" w:leader="dot" w:pos="9350"/>
            </w:tabs>
            <w:rPr>
              <w:rFonts w:eastAsiaTheme="minorEastAsia"/>
              <w:noProof/>
            </w:rPr>
          </w:pPr>
          <w:hyperlink w:anchor="_Toc85442006" w:history="1">
            <w:r w:rsidR="002C18BC" w:rsidRPr="00F12632">
              <w:rPr>
                <w:rStyle w:val="Hyperlink"/>
                <w:noProof/>
              </w:rPr>
              <w:t>Intervene, If Necessary:</w:t>
            </w:r>
            <w:r w:rsidR="002C18BC">
              <w:rPr>
                <w:noProof/>
                <w:webHidden/>
              </w:rPr>
              <w:tab/>
            </w:r>
            <w:r w:rsidR="002C18BC">
              <w:rPr>
                <w:noProof/>
                <w:webHidden/>
              </w:rPr>
              <w:fldChar w:fldCharType="begin"/>
            </w:r>
            <w:r w:rsidR="002C18BC">
              <w:rPr>
                <w:noProof/>
                <w:webHidden/>
              </w:rPr>
              <w:instrText xml:space="preserve"> PAGEREF _Toc85442006 \h </w:instrText>
            </w:r>
            <w:r w:rsidR="002C18BC">
              <w:rPr>
                <w:noProof/>
                <w:webHidden/>
              </w:rPr>
            </w:r>
            <w:r w:rsidR="002C18BC">
              <w:rPr>
                <w:noProof/>
                <w:webHidden/>
              </w:rPr>
              <w:fldChar w:fldCharType="separate"/>
            </w:r>
            <w:r w:rsidR="002C18BC">
              <w:rPr>
                <w:noProof/>
                <w:webHidden/>
              </w:rPr>
              <w:t>9</w:t>
            </w:r>
            <w:r w:rsidR="002C18BC">
              <w:rPr>
                <w:noProof/>
                <w:webHidden/>
              </w:rPr>
              <w:fldChar w:fldCharType="end"/>
            </w:r>
          </w:hyperlink>
        </w:p>
        <w:p w14:paraId="09D2AF12" w14:textId="5DEFE7E2" w:rsidR="002C18BC" w:rsidRDefault="00D67575">
          <w:pPr>
            <w:pStyle w:val="TOC2"/>
            <w:tabs>
              <w:tab w:val="right" w:leader="dot" w:pos="9350"/>
            </w:tabs>
            <w:rPr>
              <w:rFonts w:eastAsiaTheme="minorEastAsia"/>
              <w:noProof/>
            </w:rPr>
          </w:pPr>
          <w:hyperlink w:anchor="_Toc85442007" w:history="1">
            <w:r w:rsidR="002C18BC" w:rsidRPr="00F12632">
              <w:rPr>
                <w:rStyle w:val="Hyperlink"/>
                <w:noProof/>
              </w:rPr>
              <w:t xml:space="preserve">If NEUs choose to enter into </w:t>
            </w:r>
            <w:r w:rsidR="002C18BC" w:rsidRPr="00F12632">
              <w:rPr>
                <w:rStyle w:val="Hyperlink"/>
                <w:b/>
                <w:bCs/>
                <w:noProof/>
              </w:rPr>
              <w:t>contracts,</w:t>
            </w:r>
            <w:r w:rsidR="002C18BC" w:rsidRPr="00F12632">
              <w:rPr>
                <w:rStyle w:val="Hyperlink"/>
                <w:noProof/>
              </w:rPr>
              <w:t xml:space="preserve"> NEUs must:</w:t>
            </w:r>
            <w:r w:rsidR="002C18BC">
              <w:rPr>
                <w:noProof/>
                <w:webHidden/>
              </w:rPr>
              <w:tab/>
            </w:r>
            <w:r w:rsidR="002C18BC">
              <w:rPr>
                <w:noProof/>
                <w:webHidden/>
              </w:rPr>
              <w:fldChar w:fldCharType="begin"/>
            </w:r>
            <w:r w:rsidR="002C18BC">
              <w:rPr>
                <w:noProof/>
                <w:webHidden/>
              </w:rPr>
              <w:instrText xml:space="preserve"> PAGEREF _Toc85442007 \h </w:instrText>
            </w:r>
            <w:r w:rsidR="002C18BC">
              <w:rPr>
                <w:noProof/>
                <w:webHidden/>
              </w:rPr>
            </w:r>
            <w:r w:rsidR="002C18BC">
              <w:rPr>
                <w:noProof/>
                <w:webHidden/>
              </w:rPr>
              <w:fldChar w:fldCharType="separate"/>
            </w:r>
            <w:r w:rsidR="002C18BC">
              <w:rPr>
                <w:noProof/>
                <w:webHidden/>
              </w:rPr>
              <w:t>10</w:t>
            </w:r>
            <w:r w:rsidR="002C18BC">
              <w:rPr>
                <w:noProof/>
                <w:webHidden/>
              </w:rPr>
              <w:fldChar w:fldCharType="end"/>
            </w:r>
          </w:hyperlink>
        </w:p>
        <w:p w14:paraId="729308AC" w14:textId="00CC64A3" w:rsidR="002C18BC" w:rsidRDefault="00D67575">
          <w:pPr>
            <w:pStyle w:val="TOC3"/>
            <w:tabs>
              <w:tab w:val="right" w:leader="dot" w:pos="9350"/>
            </w:tabs>
            <w:rPr>
              <w:rFonts w:eastAsiaTheme="minorEastAsia"/>
              <w:noProof/>
            </w:rPr>
          </w:pPr>
          <w:hyperlink w:anchor="_Toc85442008" w:history="1">
            <w:r w:rsidR="002C18BC" w:rsidRPr="00F12632">
              <w:rPr>
                <w:rStyle w:val="Hyperlink"/>
                <w:noProof/>
              </w:rPr>
              <w:t>Follow all federal and local procurement rules:</w:t>
            </w:r>
            <w:r w:rsidR="002C18BC">
              <w:rPr>
                <w:noProof/>
                <w:webHidden/>
              </w:rPr>
              <w:tab/>
            </w:r>
            <w:r w:rsidR="002C18BC">
              <w:rPr>
                <w:noProof/>
                <w:webHidden/>
              </w:rPr>
              <w:fldChar w:fldCharType="begin"/>
            </w:r>
            <w:r w:rsidR="002C18BC">
              <w:rPr>
                <w:noProof/>
                <w:webHidden/>
              </w:rPr>
              <w:instrText xml:space="preserve"> PAGEREF _Toc85442008 \h </w:instrText>
            </w:r>
            <w:r w:rsidR="002C18BC">
              <w:rPr>
                <w:noProof/>
                <w:webHidden/>
              </w:rPr>
            </w:r>
            <w:r w:rsidR="002C18BC">
              <w:rPr>
                <w:noProof/>
                <w:webHidden/>
              </w:rPr>
              <w:fldChar w:fldCharType="separate"/>
            </w:r>
            <w:r w:rsidR="002C18BC">
              <w:rPr>
                <w:noProof/>
                <w:webHidden/>
              </w:rPr>
              <w:t>10</w:t>
            </w:r>
            <w:r w:rsidR="002C18BC">
              <w:rPr>
                <w:noProof/>
                <w:webHidden/>
              </w:rPr>
              <w:fldChar w:fldCharType="end"/>
            </w:r>
          </w:hyperlink>
        </w:p>
        <w:p w14:paraId="0DC0A519" w14:textId="61368960" w:rsidR="002C18BC" w:rsidRDefault="00D67575">
          <w:pPr>
            <w:pStyle w:val="TOC3"/>
            <w:tabs>
              <w:tab w:val="right" w:leader="dot" w:pos="9350"/>
            </w:tabs>
            <w:rPr>
              <w:rFonts w:eastAsiaTheme="minorEastAsia"/>
              <w:noProof/>
            </w:rPr>
          </w:pPr>
          <w:hyperlink w:anchor="_Toc85442009" w:history="1">
            <w:r w:rsidR="002C18BC" w:rsidRPr="00F12632">
              <w:rPr>
                <w:rStyle w:val="Hyperlink"/>
                <w:noProof/>
              </w:rPr>
              <w:t>Create a Federally Compliant Contract (Appendix II to 2CFR 200)</w:t>
            </w:r>
            <w:r w:rsidR="002C18BC">
              <w:rPr>
                <w:noProof/>
                <w:webHidden/>
              </w:rPr>
              <w:tab/>
            </w:r>
            <w:r w:rsidR="002C18BC">
              <w:rPr>
                <w:noProof/>
                <w:webHidden/>
              </w:rPr>
              <w:fldChar w:fldCharType="begin"/>
            </w:r>
            <w:r w:rsidR="002C18BC">
              <w:rPr>
                <w:noProof/>
                <w:webHidden/>
              </w:rPr>
              <w:instrText xml:space="preserve"> PAGEREF _Toc85442009 \h </w:instrText>
            </w:r>
            <w:r w:rsidR="002C18BC">
              <w:rPr>
                <w:noProof/>
                <w:webHidden/>
              </w:rPr>
            </w:r>
            <w:r w:rsidR="002C18BC">
              <w:rPr>
                <w:noProof/>
                <w:webHidden/>
              </w:rPr>
              <w:fldChar w:fldCharType="separate"/>
            </w:r>
            <w:r w:rsidR="002C18BC">
              <w:rPr>
                <w:noProof/>
                <w:webHidden/>
              </w:rPr>
              <w:t>12</w:t>
            </w:r>
            <w:r w:rsidR="002C18BC">
              <w:rPr>
                <w:noProof/>
                <w:webHidden/>
              </w:rPr>
              <w:fldChar w:fldCharType="end"/>
            </w:r>
          </w:hyperlink>
        </w:p>
        <w:p w14:paraId="328A783D" w14:textId="20DF87F2" w:rsidR="002C18BC" w:rsidRDefault="00D67575">
          <w:pPr>
            <w:pStyle w:val="TOC1"/>
            <w:tabs>
              <w:tab w:val="right" w:leader="dot" w:pos="9350"/>
            </w:tabs>
            <w:rPr>
              <w:rFonts w:eastAsiaTheme="minorEastAsia"/>
              <w:noProof/>
            </w:rPr>
          </w:pPr>
          <w:hyperlink w:anchor="_Toc85442010" w:history="1">
            <w:r w:rsidR="002C18BC" w:rsidRPr="00F12632">
              <w:rPr>
                <w:rStyle w:val="Hyperlink"/>
                <w:noProof/>
              </w:rPr>
              <w:t xml:space="preserve">If NEUs decide to establish a </w:t>
            </w:r>
            <w:r w:rsidR="002C18BC" w:rsidRPr="00F12632">
              <w:rPr>
                <w:rStyle w:val="Hyperlink"/>
                <w:b/>
                <w:bCs/>
                <w:noProof/>
              </w:rPr>
              <w:t>beneficiary</w:t>
            </w:r>
            <w:r w:rsidR="002C18BC" w:rsidRPr="00F12632">
              <w:rPr>
                <w:rStyle w:val="Hyperlink"/>
                <w:noProof/>
              </w:rPr>
              <w:t xml:space="preserve"> program</w:t>
            </w:r>
            <w:r w:rsidR="002C18BC">
              <w:rPr>
                <w:noProof/>
                <w:webHidden/>
              </w:rPr>
              <w:tab/>
            </w:r>
            <w:r w:rsidR="002C18BC">
              <w:rPr>
                <w:noProof/>
                <w:webHidden/>
              </w:rPr>
              <w:fldChar w:fldCharType="begin"/>
            </w:r>
            <w:r w:rsidR="002C18BC">
              <w:rPr>
                <w:noProof/>
                <w:webHidden/>
              </w:rPr>
              <w:instrText xml:space="preserve"> PAGEREF _Toc85442010 \h </w:instrText>
            </w:r>
            <w:r w:rsidR="002C18BC">
              <w:rPr>
                <w:noProof/>
                <w:webHidden/>
              </w:rPr>
            </w:r>
            <w:r w:rsidR="002C18BC">
              <w:rPr>
                <w:noProof/>
                <w:webHidden/>
              </w:rPr>
              <w:fldChar w:fldCharType="separate"/>
            </w:r>
            <w:r w:rsidR="002C18BC">
              <w:rPr>
                <w:noProof/>
                <w:webHidden/>
              </w:rPr>
              <w:t>14</w:t>
            </w:r>
            <w:r w:rsidR="002C18BC">
              <w:rPr>
                <w:noProof/>
                <w:webHidden/>
              </w:rPr>
              <w:fldChar w:fldCharType="end"/>
            </w:r>
          </w:hyperlink>
        </w:p>
        <w:p w14:paraId="053392EE" w14:textId="1EF6463F" w:rsidR="002C18BC" w:rsidRDefault="00D67575">
          <w:pPr>
            <w:pStyle w:val="TOC1"/>
            <w:tabs>
              <w:tab w:val="right" w:leader="dot" w:pos="9350"/>
            </w:tabs>
            <w:rPr>
              <w:rFonts w:eastAsiaTheme="minorEastAsia"/>
              <w:noProof/>
            </w:rPr>
          </w:pPr>
          <w:hyperlink w:anchor="_Toc85442011" w:history="1">
            <w:r w:rsidR="002C18BC" w:rsidRPr="00F12632">
              <w:rPr>
                <w:rStyle w:val="Hyperlink"/>
                <w:noProof/>
              </w:rPr>
              <w:t>Best Practices</w:t>
            </w:r>
            <w:r w:rsidR="002C18BC">
              <w:rPr>
                <w:noProof/>
                <w:webHidden/>
              </w:rPr>
              <w:tab/>
            </w:r>
            <w:r w:rsidR="002C18BC">
              <w:rPr>
                <w:noProof/>
                <w:webHidden/>
              </w:rPr>
              <w:fldChar w:fldCharType="begin"/>
            </w:r>
            <w:r w:rsidR="002C18BC">
              <w:rPr>
                <w:noProof/>
                <w:webHidden/>
              </w:rPr>
              <w:instrText xml:space="preserve"> PAGEREF _Toc85442011 \h </w:instrText>
            </w:r>
            <w:r w:rsidR="002C18BC">
              <w:rPr>
                <w:noProof/>
                <w:webHidden/>
              </w:rPr>
            </w:r>
            <w:r w:rsidR="002C18BC">
              <w:rPr>
                <w:noProof/>
                <w:webHidden/>
              </w:rPr>
              <w:fldChar w:fldCharType="separate"/>
            </w:r>
            <w:r w:rsidR="002C18BC">
              <w:rPr>
                <w:noProof/>
                <w:webHidden/>
              </w:rPr>
              <w:t>14</w:t>
            </w:r>
            <w:r w:rsidR="002C18BC">
              <w:rPr>
                <w:noProof/>
                <w:webHidden/>
              </w:rPr>
              <w:fldChar w:fldCharType="end"/>
            </w:r>
          </w:hyperlink>
        </w:p>
        <w:p w14:paraId="7A713B0F" w14:textId="269874FA" w:rsidR="00121572" w:rsidRDefault="00121572" w:rsidP="0048289F">
          <w:pPr>
            <w:outlineLvl w:val="2"/>
          </w:pPr>
          <w:r>
            <w:rPr>
              <w:b/>
              <w:bCs/>
              <w:noProof/>
            </w:rPr>
            <w:fldChar w:fldCharType="end"/>
          </w:r>
        </w:p>
      </w:sdtContent>
    </w:sdt>
    <w:p w14:paraId="3C9092AE" w14:textId="77777777" w:rsidR="00520394" w:rsidRDefault="00520394">
      <w:r>
        <w:br w:type="page"/>
      </w:r>
    </w:p>
    <w:p w14:paraId="2E4253F7" w14:textId="77777777" w:rsidR="00F84D74" w:rsidRPr="008C20C7" w:rsidRDefault="00F84D74" w:rsidP="00F84D74">
      <w:pPr>
        <w:pStyle w:val="Heading1"/>
      </w:pPr>
      <w:bookmarkStart w:id="0" w:name="_Toc85131134"/>
      <w:bookmarkStart w:id="1" w:name="_Toc85441993"/>
      <w:r w:rsidRPr="008C20C7">
        <w:lastRenderedPageBreak/>
        <w:t>Definitions and Background</w:t>
      </w:r>
      <w:bookmarkEnd w:id="0"/>
      <w:bookmarkEnd w:id="1"/>
      <w:r w:rsidRPr="008C20C7">
        <w:t xml:space="preserve"> </w:t>
      </w:r>
    </w:p>
    <w:p w14:paraId="419BFF53" w14:textId="77777777" w:rsidR="00F84D74" w:rsidRDefault="00F84D74" w:rsidP="00F84D74">
      <w:pPr>
        <w:pStyle w:val="Heading2"/>
      </w:pPr>
      <w:bookmarkStart w:id="2" w:name="_Toc85131135"/>
      <w:bookmarkStart w:id="3" w:name="_Toc85441994"/>
      <w:r>
        <w:t>What is a Non-Entitlement Unit of Government (NEU)?</w:t>
      </w:r>
      <w:bookmarkEnd w:id="2"/>
      <w:bookmarkEnd w:id="3"/>
    </w:p>
    <w:p w14:paraId="189EEFC4" w14:textId="4C9FD711" w:rsidR="00F84D74" w:rsidRPr="00E65F72" w:rsidRDefault="00F84D74" w:rsidP="00F84D74">
      <w:r w:rsidRPr="007A30A8">
        <w:t xml:space="preserve">Non-entitlement units of government (NEUs) are </w:t>
      </w:r>
      <w:r w:rsidRPr="00D4455E">
        <w:rPr>
          <w:b/>
          <w:bCs/>
        </w:rPr>
        <w:t>local governments typically serving populations of less than 50,000.</w:t>
      </w:r>
      <w:r>
        <w:rPr>
          <w:rStyle w:val="FootnoteReference"/>
        </w:rPr>
        <w:footnoteReference w:id="3"/>
      </w:r>
      <w:r>
        <w:t xml:space="preserve"> A New Hampshire local </w:t>
      </w:r>
      <w:r w:rsidR="009C2CD5">
        <w:t xml:space="preserve">city/town </w:t>
      </w:r>
      <w:r>
        <w:t xml:space="preserve">government </w:t>
      </w:r>
      <w:r w:rsidR="00EB2839">
        <w:t xml:space="preserve">meeting this population threshold </w:t>
      </w:r>
      <w:r>
        <w:t>that has received</w:t>
      </w:r>
      <w:r w:rsidR="006F7DD8">
        <w:t xml:space="preserve"> Coronavirus</w:t>
      </w:r>
      <w:r>
        <w:t xml:space="preserve"> Local Fiscal Recovery Funds (</w:t>
      </w:r>
      <w:r w:rsidR="005B4FA3">
        <w:t>LFRFs</w:t>
      </w:r>
      <w:r>
        <w:t xml:space="preserve">) is an NEU. </w:t>
      </w:r>
    </w:p>
    <w:p w14:paraId="2460F92A" w14:textId="77777777" w:rsidR="00F84D74" w:rsidRPr="00E34B1A" w:rsidRDefault="00F84D74" w:rsidP="00F84D74">
      <w:pPr>
        <w:pStyle w:val="Heading2"/>
      </w:pPr>
      <w:bookmarkStart w:id="4" w:name="_Toc85131136"/>
      <w:bookmarkStart w:id="5" w:name="_Toc85441995"/>
      <w:r w:rsidRPr="003669A3">
        <w:t xml:space="preserve">What </w:t>
      </w:r>
      <w:r>
        <w:t>i</w:t>
      </w:r>
      <w:r w:rsidRPr="003669A3">
        <w:t>s a Prime Recipient</w:t>
      </w:r>
      <w:r>
        <w:t>?</w:t>
      </w:r>
      <w:bookmarkEnd w:id="4"/>
      <w:bookmarkEnd w:id="5"/>
    </w:p>
    <w:p w14:paraId="37437442" w14:textId="4D1E26F6" w:rsidR="00F84D74" w:rsidRDefault="00F84D74" w:rsidP="00F84D74">
      <w:pPr>
        <w:pStyle w:val="NoSpacing"/>
      </w:pPr>
      <w:r w:rsidRPr="003669A3">
        <w:t xml:space="preserve">A </w:t>
      </w:r>
      <w:r w:rsidRPr="002E48FC">
        <w:rPr>
          <w:b/>
          <w:bCs/>
        </w:rPr>
        <w:t>prime recipient</w:t>
      </w:r>
      <w:r w:rsidRPr="003669A3">
        <w:t xml:space="preserve"> is </w:t>
      </w:r>
      <w:r>
        <w:t>an</w:t>
      </w:r>
      <w:r w:rsidRPr="003669A3">
        <w:t xml:space="preserve"> organization that receives </w:t>
      </w:r>
      <w:r>
        <w:t xml:space="preserve">grant </w:t>
      </w:r>
      <w:r w:rsidRPr="003669A3">
        <w:t xml:space="preserve">funding directly from </w:t>
      </w:r>
      <w:r>
        <w:t>a</w:t>
      </w:r>
      <w:r w:rsidRPr="003669A3">
        <w:t xml:space="preserve"> </w:t>
      </w:r>
      <w:r>
        <w:t xml:space="preserve">grantor (such as the federal government). Prime recipients are </w:t>
      </w:r>
      <w:r w:rsidRPr="003669A3">
        <w:t xml:space="preserve">responsible </w:t>
      </w:r>
      <w:r>
        <w:t>for ensuring that the grant</w:t>
      </w:r>
      <w:r w:rsidRPr="003669A3">
        <w:t xml:space="preserve"> funding </w:t>
      </w:r>
      <w:r>
        <w:t xml:space="preserve">they receive </w:t>
      </w:r>
      <w:r w:rsidRPr="003669A3">
        <w:t>is used</w:t>
      </w:r>
      <w:r>
        <w:t xml:space="preserve"> appropriately and following grant guidelines provided by the grantor</w:t>
      </w:r>
      <w:r w:rsidRPr="003669A3">
        <w:t>.</w:t>
      </w:r>
      <w:r>
        <w:t xml:space="preserve"> Even though NEUs received their funding from the state, for the purposes of</w:t>
      </w:r>
      <w:r w:rsidR="006F7DD8">
        <w:t xml:space="preserve"> Coronavirus</w:t>
      </w:r>
      <w:r>
        <w:t xml:space="preserve"> Local Fiscal Recovery Funds (</w:t>
      </w:r>
      <w:r w:rsidR="005B4FA3">
        <w:t>LFRFs</w:t>
      </w:r>
      <w:r>
        <w:t>), they are considered a prime recipient.</w:t>
      </w:r>
    </w:p>
    <w:p w14:paraId="31CFE411" w14:textId="77777777" w:rsidR="00F84D74" w:rsidRPr="003669A3" w:rsidRDefault="00F84D74" w:rsidP="00F84D74">
      <w:pPr>
        <w:pStyle w:val="NoSpacing"/>
      </w:pPr>
    </w:p>
    <w:p w14:paraId="0F6D1CB9" w14:textId="77777777" w:rsidR="00F84D74" w:rsidRPr="003669A3" w:rsidRDefault="00F84D74" w:rsidP="00F84D74">
      <w:pPr>
        <w:pStyle w:val="Heading2"/>
      </w:pPr>
      <w:bookmarkStart w:id="6" w:name="_Toc85131137"/>
      <w:bookmarkStart w:id="7" w:name="_Toc85441996"/>
      <w:r>
        <w:t>What is a Subrecipient?</w:t>
      </w:r>
      <w:bookmarkEnd w:id="6"/>
      <w:bookmarkEnd w:id="7"/>
    </w:p>
    <w:p w14:paraId="67F38FB0" w14:textId="49C200EB" w:rsidR="00F84D74" w:rsidRDefault="00F84D74" w:rsidP="00F84D74">
      <w:pPr>
        <w:pStyle w:val="NoSpacing"/>
      </w:pPr>
      <w:r>
        <w:t>In some cases, a prime recipient will choose to pass all or a portion of the grant funds they received on to another organization for them to carry out the “mission of the money” by administering a project or program on behalf of the prime recipient. Such a project or program must meet an eligible use of the funding. An example of this might be when one or many prime recipient(s) make a grant to a non-profit housing entity, and the non-profit housing entity uses that funding to build affordable housing for COVID-19 impacted families (such as low</w:t>
      </w:r>
      <w:r w:rsidR="00741D6C">
        <w:t>-</w:t>
      </w:r>
      <w:r>
        <w:t xml:space="preserve">income families, who are presumptively considered to be impacted by COVID-19). </w:t>
      </w:r>
      <w:r>
        <w:rPr>
          <w:b/>
          <w:bCs/>
        </w:rPr>
        <w:t>S</w:t>
      </w:r>
      <w:r w:rsidRPr="002E48FC">
        <w:rPr>
          <w:b/>
          <w:bCs/>
        </w:rPr>
        <w:t>ubrecipient</w:t>
      </w:r>
      <w:r w:rsidRPr="003669A3">
        <w:t xml:space="preserve"> is </w:t>
      </w:r>
      <w:r>
        <w:t>the</w:t>
      </w:r>
      <w:r w:rsidRPr="003669A3">
        <w:t xml:space="preserve"> official term given to organizations that receive </w:t>
      </w:r>
      <w:r>
        <w:t xml:space="preserve">this kind of </w:t>
      </w:r>
      <w:r w:rsidRPr="003669A3">
        <w:t xml:space="preserve">federal grant funding </w:t>
      </w:r>
      <w:r>
        <w:t xml:space="preserve">as a subgrant </w:t>
      </w:r>
      <w:r w:rsidRPr="003669A3">
        <w:t>from a prime recipient</w:t>
      </w:r>
      <w:r>
        <w:t>.</w:t>
      </w:r>
      <w:r>
        <w:rPr>
          <w:rStyle w:val="FootnoteReference"/>
        </w:rPr>
        <w:footnoteReference w:id="4"/>
      </w:r>
      <w:r>
        <w:t xml:space="preserve"> </w:t>
      </w:r>
    </w:p>
    <w:p w14:paraId="05DC52C5" w14:textId="77777777" w:rsidR="00F84D74" w:rsidRDefault="00F84D74" w:rsidP="00F84D74">
      <w:pPr>
        <w:pStyle w:val="NoSpacing"/>
      </w:pPr>
    </w:p>
    <w:p w14:paraId="705FFE65" w14:textId="77777777" w:rsidR="00F84D74" w:rsidRDefault="00F84D74" w:rsidP="00F84D74">
      <w:pPr>
        <w:pStyle w:val="Heading2"/>
      </w:pPr>
      <w:bookmarkStart w:id="8" w:name="_Toc85131138"/>
      <w:bookmarkStart w:id="9" w:name="_Toc85441997"/>
      <w:r>
        <w:t>What is a Contractor?</w:t>
      </w:r>
      <w:bookmarkEnd w:id="8"/>
      <w:bookmarkEnd w:id="9"/>
    </w:p>
    <w:p w14:paraId="2DAF56B0" w14:textId="15FEF960" w:rsidR="00F84D74" w:rsidRDefault="00F84D74" w:rsidP="00F84D74">
      <w:r w:rsidRPr="00686CF8">
        <w:t xml:space="preserve">Contractor </w:t>
      </w:r>
      <w:r>
        <w:t xml:space="preserve">is simply an entity </w:t>
      </w:r>
      <w:r w:rsidRPr="00686CF8">
        <w:t>that receives a contract</w:t>
      </w:r>
      <w:r w:rsidR="00D42C4E">
        <w:t xml:space="preserve"> (other than a sub</w:t>
      </w:r>
      <w:r w:rsidR="002B68C7">
        <w:t>award or sub</w:t>
      </w:r>
      <w:r w:rsidR="00D42C4E">
        <w:t>grant)</w:t>
      </w:r>
      <w:r w:rsidRPr="00686CF8">
        <w:t>. A contract is a legal instrument by which a</w:t>
      </w:r>
      <w:r>
        <w:t>n NEU would purchase</w:t>
      </w:r>
      <w:r w:rsidRPr="00686CF8">
        <w:t xml:space="preserve"> property or services needed to carry out the </w:t>
      </w:r>
      <w:r>
        <w:t xml:space="preserve">eligible uses of the </w:t>
      </w:r>
      <w:r w:rsidR="00D42614">
        <w:t>LFRF</w:t>
      </w:r>
      <w:r>
        <w:t xml:space="preserve">. </w:t>
      </w:r>
    </w:p>
    <w:p w14:paraId="3A9D6A4A" w14:textId="77777777" w:rsidR="00F84D74" w:rsidRPr="008C20C7" w:rsidRDefault="00F84D74" w:rsidP="00F84D74">
      <w:pPr>
        <w:pStyle w:val="Heading2"/>
      </w:pPr>
      <w:bookmarkStart w:id="10" w:name="_Toc85131139"/>
      <w:bookmarkStart w:id="11" w:name="_Toc85441998"/>
      <w:r>
        <w:t>What is a Beneficiary?</w:t>
      </w:r>
      <w:bookmarkEnd w:id="10"/>
      <w:bookmarkEnd w:id="11"/>
    </w:p>
    <w:p w14:paraId="4403763E" w14:textId="77777777" w:rsidR="00F84D74" w:rsidRDefault="00F84D74" w:rsidP="00F84D74">
      <w:pPr>
        <w:pStyle w:val="NoSpacing"/>
      </w:pPr>
      <w:r>
        <w:t xml:space="preserve">If a prime or subrecipient provides </w:t>
      </w:r>
      <w:r w:rsidRPr="00AF033A">
        <w:t xml:space="preserve">funds to an organization </w:t>
      </w:r>
      <w:r>
        <w:t xml:space="preserve">or an individual </w:t>
      </w:r>
      <w:r w:rsidRPr="00AF033A">
        <w:t>for its</w:t>
      </w:r>
      <w:r>
        <w:t>/their</w:t>
      </w:r>
      <w:r w:rsidRPr="00AF033A">
        <w:t xml:space="preserve"> own use, e.g., business interruption, salaries, </w:t>
      </w:r>
      <w:r>
        <w:t xml:space="preserve">weatherization, food assistance </w:t>
      </w:r>
      <w:r w:rsidRPr="00AF033A">
        <w:t>etc., those entities</w:t>
      </w:r>
      <w:r>
        <w:t>/people would</w:t>
      </w:r>
      <w:r w:rsidRPr="00AF033A">
        <w:t xml:space="preserve"> typically be considered beneficiaries</w:t>
      </w:r>
      <w:r>
        <w:t xml:space="preserve">. </w:t>
      </w:r>
    </w:p>
    <w:p w14:paraId="53DC0ECD" w14:textId="77777777" w:rsidR="00F84D74" w:rsidRPr="003669A3" w:rsidRDefault="00F84D74" w:rsidP="00F84D74">
      <w:pPr>
        <w:pStyle w:val="NoSpacing"/>
      </w:pPr>
    </w:p>
    <w:p w14:paraId="3C30A5FD" w14:textId="77777777" w:rsidR="00F84D74" w:rsidRPr="00E570AA" w:rsidRDefault="00F84D74" w:rsidP="00F84D74">
      <w:pPr>
        <w:pStyle w:val="Heading2"/>
      </w:pPr>
      <w:bookmarkStart w:id="12" w:name="_Toc85131140"/>
      <w:bookmarkStart w:id="13" w:name="_Toc85441999"/>
      <w:r>
        <w:t xml:space="preserve">How to Determine a </w:t>
      </w:r>
      <w:r w:rsidRPr="00600918">
        <w:t>Subrecipients vs. Contractors vs. Beneficiaries</w:t>
      </w:r>
      <w:bookmarkEnd w:id="12"/>
      <w:bookmarkEnd w:id="13"/>
    </w:p>
    <w:p w14:paraId="315CBABF" w14:textId="77777777" w:rsidR="00F84D74" w:rsidRDefault="00F84D74" w:rsidP="00F84D74">
      <w:pPr>
        <w:pStyle w:val="NoSpacing"/>
      </w:pPr>
      <w:r>
        <w:t xml:space="preserve">The table below can help you determine if you have a subrecipient, contractor, or beneficiary relationship with an entity. For-profit and non-profit organizations may be subrecipients, contractors, or beneficiaries, depending on the context. Individuals and families are usually beneficiaries. </w:t>
      </w:r>
    </w:p>
    <w:p w14:paraId="4D74F113" w14:textId="77777777" w:rsidR="00F84D74" w:rsidRDefault="00F84D74" w:rsidP="00F84D74">
      <w:pPr>
        <w:pStyle w:val="NoSpacing"/>
      </w:pPr>
    </w:p>
    <w:p w14:paraId="1A514EE1" w14:textId="77777777" w:rsidR="00F84D74" w:rsidRDefault="00F84D74" w:rsidP="00F84D74">
      <w:pPr>
        <w:pStyle w:val="NoSpacing"/>
      </w:pPr>
    </w:p>
    <w:p w14:paraId="3C4BD392" w14:textId="77777777" w:rsidR="00F84D74" w:rsidRPr="008C20C7" w:rsidRDefault="00F84D74" w:rsidP="00F84D74">
      <w:pPr>
        <w:pStyle w:val="NoSpacing"/>
        <w:keepNext/>
        <w:rPr>
          <w:b/>
          <w:bCs/>
        </w:rPr>
      </w:pPr>
      <w:r w:rsidRPr="008C20C7">
        <w:rPr>
          <w:b/>
          <w:bCs/>
        </w:rPr>
        <w:t>Table 1: Key Attributes of Subrecipients, Contractors and Beneficiaries</w:t>
      </w:r>
    </w:p>
    <w:tbl>
      <w:tblPr>
        <w:tblStyle w:val="TableGrid"/>
        <w:tblpPr w:leftFromText="180" w:rightFromText="180" w:vertAnchor="text" w:tblpY="1"/>
        <w:tblOverlap w:val="never"/>
        <w:tblW w:w="5000" w:type="pct"/>
        <w:tblLook w:val="04A0" w:firstRow="1" w:lastRow="0" w:firstColumn="1" w:lastColumn="0" w:noHBand="0" w:noVBand="1"/>
      </w:tblPr>
      <w:tblGrid>
        <w:gridCol w:w="753"/>
        <w:gridCol w:w="8597"/>
      </w:tblGrid>
      <w:tr w:rsidR="00F84D74" w:rsidRPr="00D46717" w14:paraId="2EF8BB5A" w14:textId="77777777" w:rsidTr="00D96C87">
        <w:trPr>
          <w:cantSplit/>
          <w:trHeight w:val="350"/>
          <w:tblHeader/>
        </w:trPr>
        <w:tc>
          <w:tcPr>
            <w:tcW w:w="334" w:type="pct"/>
          </w:tcPr>
          <w:p w14:paraId="44006CF8" w14:textId="77777777" w:rsidR="00F84D74" w:rsidRPr="00FA50E2" w:rsidRDefault="00F84D74" w:rsidP="00D96C87">
            <w:pPr>
              <w:pStyle w:val="NoSpacing"/>
              <w:jc w:val="center"/>
              <w:rPr>
                <w:b/>
              </w:rPr>
            </w:pPr>
            <w:r w:rsidRPr="00FA50E2">
              <w:rPr>
                <w:b/>
              </w:rPr>
              <w:t>Entity</w:t>
            </w:r>
          </w:p>
        </w:tc>
        <w:tc>
          <w:tcPr>
            <w:tcW w:w="4666" w:type="pct"/>
          </w:tcPr>
          <w:p w14:paraId="5F613345" w14:textId="77777777" w:rsidR="00F84D74" w:rsidRPr="00FA50E2" w:rsidRDefault="00F84D74" w:rsidP="00D96C87">
            <w:pPr>
              <w:pStyle w:val="NoSpacing"/>
              <w:tabs>
                <w:tab w:val="left" w:pos="6180"/>
              </w:tabs>
              <w:ind w:left="360"/>
              <w:rPr>
                <w:b/>
              </w:rPr>
            </w:pPr>
            <w:r w:rsidRPr="00FA50E2">
              <w:rPr>
                <w:b/>
              </w:rPr>
              <w:t>Attributes</w:t>
            </w:r>
            <w:r>
              <w:rPr>
                <w:b/>
                <w:bCs/>
              </w:rPr>
              <w:tab/>
            </w:r>
          </w:p>
        </w:tc>
      </w:tr>
      <w:tr w:rsidR="00F84D74" w:rsidRPr="00D46717" w14:paraId="3BFB7808" w14:textId="77777777" w:rsidTr="00D96C87">
        <w:trPr>
          <w:cantSplit/>
          <w:trHeight w:val="2240"/>
          <w:tblHeader/>
        </w:trPr>
        <w:tc>
          <w:tcPr>
            <w:tcW w:w="334" w:type="pct"/>
            <w:textDirection w:val="btLr"/>
          </w:tcPr>
          <w:p w14:paraId="17384B02" w14:textId="77777777" w:rsidR="00F84D74" w:rsidRPr="00D46717" w:rsidRDefault="00F84D74" w:rsidP="00D96C87">
            <w:pPr>
              <w:pStyle w:val="NoSpacing"/>
              <w:ind w:left="113" w:right="113"/>
              <w:jc w:val="center"/>
            </w:pPr>
            <w:r>
              <w:t>Subrecipient</w:t>
            </w:r>
          </w:p>
        </w:tc>
        <w:tc>
          <w:tcPr>
            <w:tcW w:w="4666" w:type="pct"/>
            <w:hideMark/>
          </w:tcPr>
          <w:p w14:paraId="65A24100" w14:textId="77777777" w:rsidR="00F84D74" w:rsidRPr="00D46717" w:rsidRDefault="00F84D74" w:rsidP="00D96C87">
            <w:pPr>
              <w:pStyle w:val="NoSpacing"/>
              <w:numPr>
                <w:ilvl w:val="0"/>
                <w:numId w:val="1"/>
              </w:numPr>
            </w:pPr>
            <w:r w:rsidRPr="00D46717">
              <w:t>May determine who may be eligible to receive Federal assistance under the program guidelines.</w:t>
            </w:r>
          </w:p>
          <w:p w14:paraId="1CA47C76" w14:textId="77777777" w:rsidR="00F84D74" w:rsidRPr="00D46717" w:rsidRDefault="00F84D74" w:rsidP="00D96C87">
            <w:pPr>
              <w:pStyle w:val="NoSpacing"/>
              <w:numPr>
                <w:ilvl w:val="0"/>
                <w:numId w:val="1"/>
              </w:numPr>
            </w:pPr>
            <w:r w:rsidRPr="00D46717">
              <w:t xml:space="preserve">Has its performance measured in relation to whether objectives of a Federal program were </w:t>
            </w:r>
            <w:proofErr w:type="gramStart"/>
            <w:r w:rsidRPr="00D46717">
              <w:t>met.</w:t>
            </w:r>
            <w:proofErr w:type="gramEnd"/>
          </w:p>
          <w:p w14:paraId="6D477E13" w14:textId="77777777" w:rsidR="00F84D74" w:rsidRPr="00D46717" w:rsidRDefault="00F84D74" w:rsidP="00D96C87">
            <w:pPr>
              <w:pStyle w:val="NoSpacing"/>
              <w:numPr>
                <w:ilvl w:val="0"/>
                <w:numId w:val="1"/>
              </w:numPr>
            </w:pPr>
            <w:r w:rsidRPr="00D46717">
              <w:t xml:space="preserve">Has responsibility for programmatic decision-making. </w:t>
            </w:r>
          </w:p>
          <w:p w14:paraId="6ABC9C7B" w14:textId="77777777" w:rsidR="00F84D74" w:rsidRPr="00D46717" w:rsidRDefault="00F84D74" w:rsidP="00D96C87">
            <w:pPr>
              <w:pStyle w:val="NoSpacing"/>
              <w:numPr>
                <w:ilvl w:val="0"/>
                <w:numId w:val="1"/>
              </w:numPr>
            </w:pPr>
            <w:r w:rsidRPr="00D46717">
              <w:t>In accordance with its subaward agreement (which may be in the legal form of a contract), the subrecipient uses the Federal funds to carry out a program for a public purpose specified in authorizing statute, as opposed to providing goods or services for the benefit of the recipient.</w:t>
            </w:r>
          </w:p>
          <w:p w14:paraId="60CC0501" w14:textId="77777777" w:rsidR="00F84D74" w:rsidRPr="00D46717" w:rsidRDefault="00F84D74" w:rsidP="00D96C87">
            <w:pPr>
              <w:pStyle w:val="NoSpacing"/>
              <w:numPr>
                <w:ilvl w:val="0"/>
                <w:numId w:val="1"/>
              </w:numPr>
            </w:pPr>
            <w:r w:rsidRPr="00D46717">
              <w:t>The subrecipient will not earn a profit under the arrangement.</w:t>
            </w:r>
          </w:p>
          <w:p w14:paraId="0DE8EDE7" w14:textId="77777777" w:rsidR="00F84D74" w:rsidRPr="00D46717" w:rsidRDefault="00F84D74" w:rsidP="00D96C87">
            <w:pPr>
              <w:pStyle w:val="NoSpacing"/>
              <w:numPr>
                <w:ilvl w:val="0"/>
                <w:numId w:val="1"/>
              </w:numPr>
            </w:pPr>
            <w:r w:rsidRPr="00D46717">
              <w:t>The subrecipient is required to contribute cash or in-kind match in support of the subaward.</w:t>
            </w:r>
          </w:p>
        </w:tc>
      </w:tr>
      <w:tr w:rsidR="00F84D74" w:rsidRPr="00D46717" w14:paraId="180A02C6" w14:textId="77777777" w:rsidTr="00D96C87">
        <w:trPr>
          <w:cantSplit/>
          <w:trHeight w:val="1410"/>
          <w:tblHeader/>
        </w:trPr>
        <w:tc>
          <w:tcPr>
            <w:tcW w:w="334" w:type="pct"/>
            <w:textDirection w:val="btLr"/>
          </w:tcPr>
          <w:p w14:paraId="39389ED4" w14:textId="77777777" w:rsidR="00F84D74" w:rsidRPr="00D46717" w:rsidRDefault="00F84D74" w:rsidP="00D96C87">
            <w:pPr>
              <w:pStyle w:val="NoSpacing"/>
              <w:ind w:left="113" w:right="113"/>
              <w:jc w:val="center"/>
            </w:pPr>
            <w:r>
              <w:t>Contractor</w:t>
            </w:r>
          </w:p>
        </w:tc>
        <w:tc>
          <w:tcPr>
            <w:tcW w:w="4666" w:type="pct"/>
            <w:hideMark/>
          </w:tcPr>
          <w:p w14:paraId="4C31EF46" w14:textId="77777777" w:rsidR="00F84D74" w:rsidRPr="00D46717" w:rsidRDefault="00F84D74" w:rsidP="00D96C87">
            <w:pPr>
              <w:pStyle w:val="NoSpacing"/>
              <w:numPr>
                <w:ilvl w:val="0"/>
                <w:numId w:val="2"/>
              </w:numPr>
            </w:pPr>
            <w:r w:rsidRPr="00D46717">
              <w:t>Provides goods and services within normal business operations.</w:t>
            </w:r>
          </w:p>
          <w:p w14:paraId="32B53C7A" w14:textId="77777777" w:rsidR="00F84D74" w:rsidRPr="00D46717" w:rsidRDefault="00F84D74" w:rsidP="00D96C87">
            <w:pPr>
              <w:pStyle w:val="NoSpacing"/>
              <w:numPr>
                <w:ilvl w:val="0"/>
                <w:numId w:val="2"/>
              </w:numPr>
            </w:pPr>
            <w:r w:rsidRPr="00D46717">
              <w:t>Provides similar goods or services to many different purchasers.</w:t>
            </w:r>
          </w:p>
          <w:p w14:paraId="6DDDEB4F" w14:textId="77777777" w:rsidR="00F84D74" w:rsidRPr="00D46717" w:rsidRDefault="00F84D74" w:rsidP="00D96C87">
            <w:pPr>
              <w:pStyle w:val="NoSpacing"/>
              <w:numPr>
                <w:ilvl w:val="0"/>
                <w:numId w:val="2"/>
              </w:numPr>
            </w:pPr>
            <w:r w:rsidRPr="00D46717">
              <w:t>Normally operates in a competitive environment.</w:t>
            </w:r>
          </w:p>
          <w:p w14:paraId="7599317A" w14:textId="77777777" w:rsidR="00F84D74" w:rsidRPr="00D46717" w:rsidRDefault="00F84D74" w:rsidP="00D96C87">
            <w:pPr>
              <w:pStyle w:val="NoSpacing"/>
              <w:numPr>
                <w:ilvl w:val="0"/>
                <w:numId w:val="2"/>
              </w:numPr>
            </w:pPr>
            <w:r w:rsidRPr="00D46717">
              <w:t>Provides goods or services that are ancillary to the operation of the Federal program.</w:t>
            </w:r>
          </w:p>
          <w:p w14:paraId="110C1839" w14:textId="77777777" w:rsidR="00F84D74" w:rsidRPr="00D46717" w:rsidRDefault="00F84D74" w:rsidP="00D96C87">
            <w:pPr>
              <w:pStyle w:val="NoSpacing"/>
              <w:numPr>
                <w:ilvl w:val="0"/>
                <w:numId w:val="2"/>
              </w:numPr>
            </w:pPr>
            <w:r w:rsidRPr="00D46717">
              <w:t>The entity may earn a profit under the contract.</w:t>
            </w:r>
          </w:p>
        </w:tc>
      </w:tr>
      <w:tr w:rsidR="00F84D74" w:rsidRPr="00D46717" w14:paraId="38540E05" w14:textId="77777777" w:rsidTr="00D96C87">
        <w:trPr>
          <w:cantSplit/>
          <w:trHeight w:val="1410"/>
          <w:tblHeader/>
        </w:trPr>
        <w:tc>
          <w:tcPr>
            <w:tcW w:w="334" w:type="pct"/>
            <w:textDirection w:val="btLr"/>
          </w:tcPr>
          <w:p w14:paraId="53192505" w14:textId="77777777" w:rsidR="00F84D74" w:rsidRPr="00D46717" w:rsidRDefault="00F84D74" w:rsidP="00D96C87">
            <w:pPr>
              <w:pStyle w:val="NoSpacing"/>
              <w:ind w:left="113" w:right="113"/>
              <w:jc w:val="center"/>
            </w:pPr>
            <w:r>
              <w:t>Beneficiary</w:t>
            </w:r>
          </w:p>
        </w:tc>
        <w:tc>
          <w:tcPr>
            <w:tcW w:w="4666" w:type="pct"/>
            <w:hideMark/>
          </w:tcPr>
          <w:p w14:paraId="06AE0869" w14:textId="404ADE36" w:rsidR="00F84D74" w:rsidRPr="00D46717" w:rsidRDefault="00F84D74" w:rsidP="00D96C87">
            <w:pPr>
              <w:pStyle w:val="NoSpacing"/>
              <w:numPr>
                <w:ilvl w:val="0"/>
                <w:numId w:val="3"/>
              </w:numPr>
            </w:pPr>
            <w:r w:rsidRPr="00D46717">
              <w:t xml:space="preserve">Is the end recipient of </w:t>
            </w:r>
            <w:r>
              <w:t>LFRFs</w:t>
            </w:r>
            <w:r w:rsidRPr="00D46717">
              <w:t>.</w:t>
            </w:r>
          </w:p>
          <w:p w14:paraId="5D856495" w14:textId="42D731E5" w:rsidR="00F84D74" w:rsidRPr="00D46717" w:rsidRDefault="00D42614" w:rsidP="00D96C87">
            <w:pPr>
              <w:pStyle w:val="NoSpacing"/>
              <w:numPr>
                <w:ilvl w:val="0"/>
                <w:numId w:val="3"/>
              </w:numPr>
            </w:pPr>
            <w:r>
              <w:t>LFRF</w:t>
            </w:r>
            <w:r w:rsidR="00F84D74" w:rsidRPr="00D46717">
              <w:t xml:space="preserve"> beneficiaries may include the following</w:t>
            </w:r>
            <w:r w:rsidR="00BC538C">
              <w:rPr>
                <w:rStyle w:val="FootnoteReference"/>
              </w:rPr>
              <w:footnoteReference w:id="5"/>
            </w:r>
            <w:r w:rsidR="00F84D74" w:rsidRPr="00D46717">
              <w:t>:</w:t>
            </w:r>
          </w:p>
          <w:p w14:paraId="61708A0F" w14:textId="77777777" w:rsidR="00F84D74" w:rsidRPr="00D46717" w:rsidRDefault="00F84D74" w:rsidP="00D96C87">
            <w:pPr>
              <w:pStyle w:val="NoSpacing"/>
              <w:numPr>
                <w:ilvl w:val="1"/>
                <w:numId w:val="3"/>
              </w:numPr>
            </w:pPr>
            <w:r w:rsidRPr="00D46717">
              <w:t>Individual</w:t>
            </w:r>
            <w:r>
              <w:t>s</w:t>
            </w:r>
            <w:r w:rsidRPr="00D46717">
              <w:t>/</w:t>
            </w:r>
            <w:r>
              <w:t>f</w:t>
            </w:r>
            <w:r w:rsidRPr="00D46717">
              <w:t>amil</w:t>
            </w:r>
            <w:r>
              <w:t>ies</w:t>
            </w:r>
          </w:p>
          <w:p w14:paraId="356D4ACD" w14:textId="77777777" w:rsidR="00F84D74" w:rsidRPr="00D46717" w:rsidRDefault="00F84D74" w:rsidP="00D96C87">
            <w:pPr>
              <w:pStyle w:val="NoSpacing"/>
              <w:numPr>
                <w:ilvl w:val="1"/>
                <w:numId w:val="3"/>
              </w:numPr>
            </w:pPr>
            <w:r w:rsidRPr="00D46717">
              <w:t>Small business</w:t>
            </w:r>
            <w:r>
              <w:t>es</w:t>
            </w:r>
          </w:p>
          <w:p w14:paraId="3CDB5CC9" w14:textId="77777777" w:rsidR="00F84D74" w:rsidRPr="00D46717" w:rsidRDefault="00F84D74" w:rsidP="00D96C87">
            <w:pPr>
              <w:pStyle w:val="NoSpacing"/>
              <w:numPr>
                <w:ilvl w:val="1"/>
                <w:numId w:val="3"/>
              </w:numPr>
            </w:pPr>
            <w:r w:rsidRPr="00D46717">
              <w:t>Public nonprofit institution/organization</w:t>
            </w:r>
            <w:r>
              <w:t xml:space="preserve"> (if receiving assistance for eligible uses such as economic support for impacted industries)</w:t>
            </w:r>
          </w:p>
          <w:p w14:paraId="46835B58" w14:textId="77777777" w:rsidR="00F84D74" w:rsidRPr="00D46717" w:rsidRDefault="00F84D74" w:rsidP="00D96C87">
            <w:pPr>
              <w:pStyle w:val="NoSpacing"/>
              <w:numPr>
                <w:ilvl w:val="1"/>
                <w:numId w:val="3"/>
              </w:numPr>
            </w:pPr>
            <w:r w:rsidRPr="00D46717">
              <w:t>Private nonprofit institution/organization</w:t>
            </w:r>
            <w:r>
              <w:t xml:space="preserve"> (if receiving assistance for eligible uses such as economic support for impacted industries)</w:t>
            </w:r>
          </w:p>
        </w:tc>
      </w:tr>
    </w:tbl>
    <w:p w14:paraId="7AF54418" w14:textId="03B357D5" w:rsidR="00F84D74" w:rsidRDefault="00F84D74" w:rsidP="0048289F"/>
    <w:p w14:paraId="123D40E7" w14:textId="104A744B" w:rsidR="000306B8" w:rsidRDefault="000306B8" w:rsidP="0048289F">
      <w:r>
        <w:t xml:space="preserve">For further assistance in </w:t>
      </w:r>
      <w:r w:rsidR="006A2A00">
        <w:t>determining if you have a subrecipient, contractor, or beneficiary relationship with an entity, the checklist embedded below walks through a series of questions that can aid in making a judgement about the relationship type.</w:t>
      </w:r>
    </w:p>
    <w:bookmarkStart w:id="14" w:name="_Toc85131141"/>
    <w:bookmarkStart w:id="15" w:name="_MON_1704629684"/>
    <w:bookmarkEnd w:id="15"/>
    <w:p w14:paraId="167B9BBE" w14:textId="644B6F68" w:rsidR="005B4FA3" w:rsidRDefault="006A2A00" w:rsidP="006A2A00">
      <w:r>
        <w:object w:dxaOrig="1530" w:dyaOrig="996" w14:anchorId="3BC1E9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5pt;height:49.5pt" o:ole="">
            <v:imagedata r:id="rId11" o:title=""/>
          </v:shape>
          <o:OLEObject Type="Embed" ProgID="Word.Document.12" ShapeID="_x0000_i1028" DrawAspect="Icon" ObjectID="_1704630347" r:id="rId12">
            <o:FieldCodes>\s</o:FieldCodes>
          </o:OLEObject>
        </w:object>
      </w:r>
      <w:r w:rsidR="005B4FA3">
        <w:br w:type="page"/>
      </w:r>
    </w:p>
    <w:p w14:paraId="224A62D3" w14:textId="63452D21" w:rsidR="00F468DA" w:rsidRDefault="00F468DA" w:rsidP="0048289F">
      <w:pPr>
        <w:pStyle w:val="Heading1"/>
      </w:pPr>
      <w:bookmarkStart w:id="16" w:name="_Toc85442000"/>
      <w:r>
        <w:lastRenderedPageBreak/>
        <w:t>What is Uniform Guidance (2 CFR 200), and how does it apply to th</w:t>
      </w:r>
      <w:r w:rsidR="0032049A">
        <w:t xml:space="preserve">e </w:t>
      </w:r>
      <w:r w:rsidR="00D42614">
        <w:t>LFRF</w:t>
      </w:r>
      <w:r>
        <w:t xml:space="preserve"> funds?</w:t>
      </w:r>
      <w:bookmarkEnd w:id="14"/>
      <w:bookmarkEnd w:id="16"/>
    </w:p>
    <w:p w14:paraId="1ABDFD97" w14:textId="77777777" w:rsidR="00F468DA" w:rsidRDefault="00F468DA" w:rsidP="00F468DA">
      <w:pPr>
        <w:pStyle w:val="NoSpacing"/>
      </w:pPr>
    </w:p>
    <w:p w14:paraId="0C943D34" w14:textId="58E7A216" w:rsidR="00AC241E" w:rsidRDefault="00E43165" w:rsidP="0075046B">
      <w:pPr>
        <w:pStyle w:val="NoSpacing"/>
      </w:pPr>
      <w:r>
        <w:t xml:space="preserve">The “Uniform Guidance” is the set of federal rules </w:t>
      </w:r>
      <w:r w:rsidR="00F26327">
        <w:t xml:space="preserve">(administrative requirements, cost principles, and audit </w:t>
      </w:r>
      <w:r w:rsidR="00AE36FB">
        <w:t xml:space="preserve">guidelines) </w:t>
      </w:r>
      <w:r>
        <w:t>that</w:t>
      </w:r>
      <w:r w:rsidR="00E22658">
        <w:t xml:space="preserve"> apply to federal money</w:t>
      </w:r>
      <w:r w:rsidR="00EB03C9">
        <w:t xml:space="preserve">. </w:t>
      </w:r>
      <w:r w:rsidR="00F468DA">
        <w:t>Prime recipients and s</w:t>
      </w:r>
      <w:r w:rsidR="00F468DA" w:rsidRPr="00256AF1">
        <w:t xml:space="preserve">ubrecipients </w:t>
      </w:r>
      <w:r w:rsidR="00EB03C9">
        <w:t>are responsible for following Uniform Guidance</w:t>
      </w:r>
      <w:r w:rsidR="000D1349">
        <w:t xml:space="preserve"> and agreed to </w:t>
      </w:r>
      <w:r w:rsidR="004C3403">
        <w:t xml:space="preserve">be bound by it </w:t>
      </w:r>
      <w:r w:rsidR="00A805E6">
        <w:t xml:space="preserve">when signing their </w:t>
      </w:r>
      <w:r w:rsidR="008F662C">
        <w:t xml:space="preserve">agreements prior to receiving </w:t>
      </w:r>
      <w:r w:rsidR="00D42614">
        <w:t>LFRF</w:t>
      </w:r>
      <w:r w:rsidR="008F662C">
        <w:t xml:space="preserve"> funds. </w:t>
      </w:r>
      <w:r w:rsidR="004D1426">
        <w:t xml:space="preserve">NEUs are responsible </w:t>
      </w:r>
      <w:r w:rsidR="005F4B55">
        <w:t>to</w:t>
      </w:r>
      <w:r w:rsidR="00F468DA" w:rsidRPr="00256AF1">
        <w:t xml:space="preserve"> familiarize themselves with the</w:t>
      </w:r>
      <w:r w:rsidR="00AE36FB">
        <w:t>se</w:t>
      </w:r>
      <w:r w:rsidR="00F468DA" w:rsidRPr="00256AF1">
        <w:t xml:space="preserve"> requirements.</w:t>
      </w:r>
      <w:r w:rsidR="00F468DA">
        <w:t xml:space="preserve"> </w:t>
      </w:r>
      <w:r w:rsidR="00F468DA" w:rsidRPr="00256AF1">
        <w:t xml:space="preserve">In addition, </w:t>
      </w:r>
      <w:r w:rsidR="00F468DA">
        <w:t>NEUs</w:t>
      </w:r>
      <w:r w:rsidR="00F468DA" w:rsidRPr="00256AF1">
        <w:t xml:space="preserve"> should review the most up-to-date versions of the Treasury’s guidance on </w:t>
      </w:r>
      <w:r w:rsidR="00D42614">
        <w:t>LFRF</w:t>
      </w:r>
      <w:r w:rsidR="00F468DA" w:rsidRPr="00256AF1">
        <w:t xml:space="preserve"> funding. This guidance can be found on </w:t>
      </w:r>
      <w:hyperlink r:id="rId13" w:history="1">
        <w:r w:rsidR="00F468DA" w:rsidRPr="006A2A00">
          <w:rPr>
            <w:rStyle w:val="Hyperlink"/>
          </w:rPr>
          <w:t>Treasury’s w</w:t>
        </w:r>
        <w:r w:rsidR="00F468DA" w:rsidRPr="006A2A00">
          <w:rPr>
            <w:rStyle w:val="Hyperlink"/>
          </w:rPr>
          <w:t>e</w:t>
        </w:r>
        <w:r w:rsidR="00F468DA" w:rsidRPr="006A2A00">
          <w:rPr>
            <w:rStyle w:val="Hyperlink"/>
          </w:rPr>
          <w:t>bsite</w:t>
        </w:r>
      </w:hyperlink>
      <w:r w:rsidR="00F468DA" w:rsidRPr="00256AF1">
        <w:t xml:space="preserve">. </w:t>
      </w:r>
      <w:r w:rsidR="00247B1A">
        <w:t xml:space="preserve">Below is a summary of key areas of the Uniform Guidance and Treasury Guidance for NEUs to follow when administering the </w:t>
      </w:r>
      <w:r w:rsidR="00D42614">
        <w:t>LFRF</w:t>
      </w:r>
      <w:r w:rsidR="00247B1A">
        <w:t>.</w:t>
      </w:r>
      <w:r w:rsidR="00AC241E">
        <w:t xml:space="preserve"> </w:t>
      </w:r>
    </w:p>
    <w:p w14:paraId="787F6C73" w14:textId="4ACEDE04" w:rsidR="00054AAD" w:rsidRDefault="00054AAD" w:rsidP="0075046B">
      <w:pPr>
        <w:pStyle w:val="NoSpacing"/>
      </w:pPr>
    </w:p>
    <w:p w14:paraId="3B46538F" w14:textId="1E2E7D08" w:rsidR="00F468DA" w:rsidRPr="00D96C87" w:rsidRDefault="00F468DA" w:rsidP="0075046B">
      <w:pPr>
        <w:pStyle w:val="NoSpacing"/>
        <w:rPr>
          <w:b/>
        </w:rPr>
      </w:pPr>
      <w:r w:rsidRPr="00D96C87">
        <w:rPr>
          <w:b/>
        </w:rPr>
        <w:t>Table 2: Summary of Key Areas of Uniform Guidance</w:t>
      </w:r>
    </w:p>
    <w:tbl>
      <w:tblPr>
        <w:tblStyle w:val="TableGrid"/>
        <w:tblpPr w:leftFromText="180" w:rightFromText="180" w:vertAnchor="text" w:tblpY="1"/>
        <w:tblOverlap w:val="never"/>
        <w:tblW w:w="5000" w:type="pct"/>
        <w:tblLook w:val="04A0" w:firstRow="1" w:lastRow="0" w:firstColumn="1" w:lastColumn="0" w:noHBand="0" w:noVBand="1"/>
      </w:tblPr>
      <w:tblGrid>
        <w:gridCol w:w="1075"/>
        <w:gridCol w:w="8275"/>
      </w:tblGrid>
      <w:tr w:rsidR="00F468DA" w14:paraId="491B7967" w14:textId="77777777" w:rsidTr="00AC241E">
        <w:trPr>
          <w:trHeight w:val="279"/>
          <w:tblHeader/>
        </w:trPr>
        <w:tc>
          <w:tcPr>
            <w:tcW w:w="575" w:type="pct"/>
          </w:tcPr>
          <w:p w14:paraId="140079CE" w14:textId="77777777" w:rsidR="00F468DA" w:rsidRPr="008C20C7" w:rsidRDefault="00F468DA" w:rsidP="00AC241E">
            <w:pPr>
              <w:pStyle w:val="NoSpacing"/>
              <w:rPr>
                <w:b/>
                <w:bCs/>
              </w:rPr>
            </w:pPr>
            <w:r>
              <w:rPr>
                <w:b/>
                <w:bCs/>
              </w:rPr>
              <w:t>Category</w:t>
            </w:r>
            <w:r w:rsidRPr="008C20C7">
              <w:rPr>
                <w:b/>
              </w:rPr>
              <w:t xml:space="preserve"> </w:t>
            </w:r>
          </w:p>
        </w:tc>
        <w:tc>
          <w:tcPr>
            <w:tcW w:w="4425" w:type="pct"/>
          </w:tcPr>
          <w:p w14:paraId="714D9A0B" w14:textId="77777777" w:rsidR="00F468DA" w:rsidRPr="008C20C7" w:rsidRDefault="00F468DA" w:rsidP="00AC241E">
            <w:pPr>
              <w:pStyle w:val="NoSpacing"/>
              <w:rPr>
                <w:b/>
                <w:bCs/>
              </w:rPr>
            </w:pPr>
            <w:r w:rsidRPr="008C20C7">
              <w:rPr>
                <w:b/>
              </w:rPr>
              <w:t xml:space="preserve">Key </w:t>
            </w:r>
            <w:r>
              <w:rPr>
                <w:b/>
              </w:rPr>
              <w:t>Points</w:t>
            </w:r>
          </w:p>
        </w:tc>
      </w:tr>
      <w:tr w:rsidR="00F468DA" w14:paraId="2A6C5555" w14:textId="77777777" w:rsidTr="00AC241E">
        <w:trPr>
          <w:cantSplit/>
          <w:trHeight w:val="1134"/>
        </w:trPr>
        <w:tc>
          <w:tcPr>
            <w:tcW w:w="575" w:type="pct"/>
            <w:textDirection w:val="btLr"/>
          </w:tcPr>
          <w:p w14:paraId="3E0D435A" w14:textId="77777777" w:rsidR="00F468DA" w:rsidRDefault="00F468DA" w:rsidP="00AC241E">
            <w:pPr>
              <w:pStyle w:val="NoSpacing"/>
              <w:ind w:left="113" w:right="113"/>
              <w:jc w:val="center"/>
            </w:pPr>
            <w:r>
              <w:t>Allowable Activities</w:t>
            </w:r>
          </w:p>
        </w:tc>
        <w:tc>
          <w:tcPr>
            <w:tcW w:w="4425" w:type="pct"/>
          </w:tcPr>
          <w:p w14:paraId="1C3C7850" w14:textId="6F6F62C9" w:rsidR="00A456D2" w:rsidRDefault="00610E14" w:rsidP="00AC241E">
            <w:pPr>
              <w:pStyle w:val="NoSpacing"/>
              <w:spacing w:after="120"/>
            </w:pPr>
            <w:r>
              <w:t xml:space="preserve">The </w:t>
            </w:r>
            <w:r w:rsidR="00A25FF8">
              <w:t xml:space="preserve">Governor’s Office for </w:t>
            </w:r>
            <w:r w:rsidR="00C33108">
              <w:t xml:space="preserve">Emergency Relief and </w:t>
            </w:r>
            <w:r w:rsidR="00A25FF8">
              <w:t>Recovery (</w:t>
            </w:r>
            <w:r w:rsidR="008C547D">
              <w:t>GOFERR</w:t>
            </w:r>
            <w:r w:rsidR="00A25FF8">
              <w:t>)</w:t>
            </w:r>
            <w:r w:rsidR="00F468DA">
              <w:t xml:space="preserve"> does not have the authority to review or approve</w:t>
            </w:r>
            <w:r w:rsidR="00F468DA" w:rsidRPr="00E879F0">
              <w:t xml:space="preserve"> </w:t>
            </w:r>
            <w:r w:rsidR="3DBBF251">
              <w:t>NEUs</w:t>
            </w:r>
            <w:r w:rsidR="008C547D">
              <w:t>’</w:t>
            </w:r>
            <w:r w:rsidR="00F468DA">
              <w:t xml:space="preserve"> </w:t>
            </w:r>
            <w:r w:rsidR="00F468DA" w:rsidRPr="00E879F0">
              <w:t xml:space="preserve">uses of </w:t>
            </w:r>
            <w:r w:rsidR="005B4FA3">
              <w:t>LFRFs</w:t>
            </w:r>
            <w:r w:rsidR="00F468DA" w:rsidRPr="00E879F0">
              <w:t xml:space="preserve">. </w:t>
            </w:r>
            <w:r w:rsidR="00961834">
              <w:t>Questions</w:t>
            </w:r>
            <w:r w:rsidR="00E36633">
              <w:t xml:space="preserve"> may be submitted to the GOFERR Office</w:t>
            </w:r>
            <w:r w:rsidR="00830BCA">
              <w:t xml:space="preserve"> as needed via the </w:t>
            </w:r>
            <w:hyperlink r:id="rId14" w:history="1">
              <w:r w:rsidR="00830BCA" w:rsidRPr="00830BCA">
                <w:rPr>
                  <w:rStyle w:val="Hyperlink"/>
                </w:rPr>
                <w:t>inquiry portal</w:t>
              </w:r>
            </w:hyperlink>
            <w:r w:rsidR="00830BCA">
              <w:t xml:space="preserve">. </w:t>
            </w:r>
          </w:p>
          <w:p w14:paraId="52C91BBA" w14:textId="304559BA" w:rsidR="006E6A4E" w:rsidRDefault="00A456D2" w:rsidP="00AC241E">
            <w:pPr>
              <w:pStyle w:val="NoSpacing"/>
              <w:spacing w:after="120"/>
            </w:pPr>
            <w:r>
              <w:t xml:space="preserve">Allowable uses of funds </w:t>
            </w:r>
            <w:r w:rsidR="00C34E3D">
              <w:t xml:space="preserve">can be found </w:t>
            </w:r>
            <w:r w:rsidR="00B87D2F">
              <w:t xml:space="preserve">in detail in </w:t>
            </w:r>
            <w:hyperlink r:id="rId15" w:history="1">
              <w:r w:rsidR="00F10233" w:rsidRPr="00F10233">
                <w:rPr>
                  <w:rStyle w:val="Hyperlink"/>
                </w:rPr>
                <w:t>Appendix I of the SLF</w:t>
              </w:r>
              <w:r w:rsidR="00F10233" w:rsidRPr="00F10233">
                <w:rPr>
                  <w:rStyle w:val="Hyperlink"/>
                </w:rPr>
                <w:t>R</w:t>
              </w:r>
              <w:r w:rsidR="00F10233" w:rsidRPr="00F10233">
                <w:rPr>
                  <w:rStyle w:val="Hyperlink"/>
                </w:rPr>
                <w:t>F Compliance and Reporting Guide</w:t>
              </w:r>
            </w:hyperlink>
            <w:r w:rsidR="00C34E3D">
              <w:t xml:space="preserve"> and </w:t>
            </w:r>
            <w:r>
              <w:t xml:space="preserve">are summarized below: </w:t>
            </w:r>
          </w:p>
          <w:p w14:paraId="1C68B210" w14:textId="21F039E1" w:rsidR="00BF393F" w:rsidRPr="005B4FA3" w:rsidRDefault="003C5B8B" w:rsidP="00AC241E">
            <w:pPr>
              <w:pStyle w:val="NoSpacing"/>
              <w:spacing w:after="120"/>
              <w:rPr>
                <w:rFonts w:ascii="Calibri" w:hAnsi="Calibri"/>
                <w:color w:val="000000"/>
                <w:bdr w:val="none" w:sz="0" w:space="0" w:color="auto" w:frame="1"/>
              </w:rPr>
            </w:pPr>
            <w:r w:rsidRPr="0048289F">
              <w:rPr>
                <w:i/>
                <w:iCs/>
              </w:rPr>
              <w:t>EC 1: Public Health</w:t>
            </w:r>
            <w:r w:rsidR="006E6A4E">
              <w:t xml:space="preserve"> </w:t>
            </w:r>
            <w:r w:rsidR="00DD7DD8">
              <w:t xml:space="preserve">– Consists of 12 subcategories and covers projects </w:t>
            </w:r>
            <w:r w:rsidR="00BF393F">
              <w:t>that are t</w:t>
            </w:r>
            <w:r w:rsidR="00BF393F">
              <w:rPr>
                <w:rStyle w:val="normaltextrun"/>
                <w:rFonts w:ascii="Calibri" w:hAnsi="Calibri"/>
                <w:color w:val="000000"/>
                <w:bdr w:val="none" w:sz="0" w:space="0" w:color="auto" w:frame="1"/>
              </w:rPr>
              <w:t>aking actions to control spread, support hospitals and health care workers, testing, contact tracing, public health data systems, vaccination programs, health care capacity enhancements, ventilation in congregate settings, etc.</w:t>
            </w:r>
          </w:p>
          <w:p w14:paraId="59DADA66" w14:textId="0D4DA632" w:rsidR="005D7FFC" w:rsidRDefault="003C5B8B" w:rsidP="00AC241E">
            <w:pPr>
              <w:pStyle w:val="NoSpacing"/>
              <w:spacing w:after="120"/>
            </w:pPr>
            <w:r w:rsidRPr="0048289F">
              <w:rPr>
                <w:i/>
                <w:iCs/>
              </w:rPr>
              <w:t>EC 2: Negative Economic Impacts</w:t>
            </w:r>
            <w:r w:rsidR="00BF393F">
              <w:t xml:space="preserve"> </w:t>
            </w:r>
            <w:r w:rsidR="005D7FFC">
              <w:t>–</w:t>
            </w:r>
            <w:r w:rsidR="00BF393F">
              <w:t xml:space="preserve"> </w:t>
            </w:r>
            <w:r w:rsidR="002B6647">
              <w:t>Consists of</w:t>
            </w:r>
            <w:r w:rsidR="005D7FFC" w:rsidRPr="005D7FFC">
              <w:t xml:space="preserve"> </w:t>
            </w:r>
            <w:r w:rsidR="005D7FFC">
              <w:t xml:space="preserve">14 subcategories and covers </w:t>
            </w:r>
            <w:r w:rsidR="005D7FFC" w:rsidRPr="005D7FFC">
              <w:t xml:space="preserve">any direct response to COVID or the after-effects of COVID, assistance as a result of a negative impact of COVID, relief for individuals, households, hardest-hit communities, small businesses, as well as aid to impacted industries such as tourism, travel and hospitality (other industries require additional data and justification).  </w:t>
            </w:r>
          </w:p>
          <w:p w14:paraId="5D0B9921" w14:textId="39AE2B4C" w:rsidR="005D7FFC" w:rsidRDefault="003C5B8B" w:rsidP="00AC241E">
            <w:pPr>
              <w:pStyle w:val="NoSpacing"/>
              <w:spacing w:after="120"/>
            </w:pPr>
            <w:r w:rsidRPr="0048289F">
              <w:rPr>
                <w:i/>
                <w:iCs/>
              </w:rPr>
              <w:t>EC 3: Services to Disproportionately Impacted Communities</w:t>
            </w:r>
            <w:r w:rsidR="00EB70A7">
              <w:t xml:space="preserve"> – </w:t>
            </w:r>
            <w:r w:rsidR="002B6647">
              <w:t xml:space="preserve">Consists of </w:t>
            </w:r>
            <w:r w:rsidR="00EB70A7">
              <w:t>1</w:t>
            </w:r>
            <w:r w:rsidR="00687F38">
              <w:t>6</w:t>
            </w:r>
            <w:r w:rsidR="00EB70A7">
              <w:t xml:space="preserve"> subcategories and </w:t>
            </w:r>
            <w:r w:rsidR="005B0557">
              <w:t xml:space="preserve">covers </w:t>
            </w:r>
            <w:r w:rsidR="00EB70A7" w:rsidRPr="00EB70A7">
              <w:t>any response geared towards education assistance, promoting healthy childhood environments, housing support, as well as promoting addressing social determinants of health.</w:t>
            </w:r>
          </w:p>
          <w:p w14:paraId="4F89A024" w14:textId="743A8DBD" w:rsidR="009D20BF" w:rsidRDefault="003C5B8B" w:rsidP="00AC241E">
            <w:pPr>
              <w:pStyle w:val="NoSpacing"/>
              <w:spacing w:after="120"/>
            </w:pPr>
            <w:r w:rsidRPr="0048289F">
              <w:rPr>
                <w:i/>
                <w:iCs/>
              </w:rPr>
              <w:t>EC 4: Premium</w:t>
            </w:r>
            <w:r w:rsidRPr="003C5B8B">
              <w:t xml:space="preserve"> </w:t>
            </w:r>
            <w:r w:rsidRPr="0048289F">
              <w:rPr>
                <w:i/>
                <w:iCs/>
              </w:rPr>
              <w:t>Pay</w:t>
            </w:r>
            <w:r w:rsidR="005D7FFC">
              <w:t xml:space="preserve"> – </w:t>
            </w:r>
            <w:r w:rsidR="003C4E41">
              <w:t>Consists of 2 subcategories and covers p</w:t>
            </w:r>
            <w:r w:rsidR="009D20BF" w:rsidRPr="009D20BF">
              <w:t xml:space="preserve">remium pay to workers performing essential work during the COVID-19 public health emergency. </w:t>
            </w:r>
            <w:r w:rsidR="009D20BF">
              <w:t xml:space="preserve">Remote workers are not eligible for </w:t>
            </w:r>
            <w:r w:rsidR="00D42614">
              <w:t>LFRF</w:t>
            </w:r>
            <w:r w:rsidR="009D20BF">
              <w:t xml:space="preserve"> premium pay. </w:t>
            </w:r>
          </w:p>
          <w:p w14:paraId="31DE1A41" w14:textId="2561C4FE" w:rsidR="00583ABC" w:rsidRPr="005B4FA3" w:rsidRDefault="009E5550" w:rsidP="00AC241E">
            <w:pPr>
              <w:pStyle w:val="NoSpacing"/>
              <w:spacing w:after="120"/>
              <w:rPr>
                <w:rFonts w:ascii="Calibri" w:hAnsi="Calibri"/>
                <w:color w:val="000000"/>
                <w:shd w:val="clear" w:color="auto" w:fill="F2F2F2"/>
              </w:rPr>
            </w:pPr>
            <w:r w:rsidRPr="0048289F">
              <w:rPr>
                <w:i/>
                <w:iCs/>
              </w:rPr>
              <w:t>EC 5: Infrastructure</w:t>
            </w:r>
            <w:r w:rsidR="00F04DFB">
              <w:t xml:space="preserve"> – </w:t>
            </w:r>
            <w:r w:rsidR="00583ABC">
              <w:t xml:space="preserve">Consists of 17 subcategories and </w:t>
            </w:r>
            <w:r w:rsidR="00583ABC" w:rsidRPr="047237B6">
              <w:rPr>
                <w:rStyle w:val="normaltextrun"/>
                <w:rFonts w:ascii="Calibri" w:hAnsi="Calibri"/>
                <w:color w:val="000000" w:themeColor="text1"/>
              </w:rPr>
              <w:t>covers projects that are making necessary investments in water, sewer, or broadband infrastructure.</w:t>
            </w:r>
            <w:r w:rsidR="00583ABC" w:rsidRPr="047237B6">
              <w:rPr>
                <w:rStyle w:val="eop"/>
                <w:rFonts w:ascii="Calibri" w:hAnsi="Calibri"/>
                <w:color w:val="000000" w:themeColor="text1"/>
              </w:rPr>
              <w:t> </w:t>
            </w:r>
          </w:p>
          <w:p w14:paraId="2DBE50AE" w14:textId="1CDC3FEC" w:rsidR="00886F33" w:rsidRPr="00886F33" w:rsidRDefault="006E6A4E" w:rsidP="00AC241E">
            <w:pPr>
              <w:pStyle w:val="NoSpacing"/>
              <w:spacing w:after="120"/>
            </w:pPr>
            <w:r w:rsidRPr="0048289F">
              <w:rPr>
                <w:i/>
                <w:iCs/>
              </w:rPr>
              <w:t>EC 6: Revenue Replacement</w:t>
            </w:r>
            <w:r w:rsidR="00583ABC">
              <w:t xml:space="preserve"> – </w:t>
            </w:r>
            <w:r w:rsidR="003737F1">
              <w:t>Covers 1 subcategory and is for the p</w:t>
            </w:r>
            <w:r w:rsidR="003737F1">
              <w:rPr>
                <w:rStyle w:val="normaltextrun"/>
                <w:rFonts w:ascii="Calibri" w:hAnsi="Calibri"/>
                <w:color w:val="000000"/>
                <w:shd w:val="clear" w:color="auto" w:fill="FFFFFF"/>
              </w:rPr>
              <w:t xml:space="preserve">rovision of government services to the extent of the reduction in revenue. If there is no COVID connection and it does not fit into one of the other </w:t>
            </w:r>
            <w:r w:rsidR="00C34E3D">
              <w:rPr>
                <w:rStyle w:val="normaltextrun"/>
                <w:rFonts w:ascii="Calibri" w:hAnsi="Calibri"/>
                <w:color w:val="000000"/>
                <w:shd w:val="clear" w:color="auto" w:fill="FFFFFF"/>
              </w:rPr>
              <w:t>categories,</w:t>
            </w:r>
            <w:r w:rsidR="003737F1">
              <w:rPr>
                <w:rStyle w:val="normaltextrun"/>
                <w:rFonts w:ascii="Calibri" w:hAnsi="Calibri"/>
                <w:color w:val="000000"/>
                <w:shd w:val="clear" w:color="auto" w:fill="FFFFFF"/>
              </w:rPr>
              <w:t xml:space="preserve"> this is available</w:t>
            </w:r>
            <w:r w:rsidR="00C34E3D">
              <w:rPr>
                <w:rStyle w:val="normaltextrun"/>
                <w:rFonts w:ascii="Calibri" w:hAnsi="Calibri"/>
                <w:color w:val="000000"/>
                <w:shd w:val="clear" w:color="auto" w:fill="FFFFFF"/>
              </w:rPr>
              <w:t>.</w:t>
            </w:r>
            <w:r w:rsidR="003737F1">
              <w:rPr>
                <w:rStyle w:val="normaltextrun"/>
                <w:rFonts w:ascii="Calibri" w:hAnsi="Calibri"/>
                <w:color w:val="000000"/>
                <w:shd w:val="clear" w:color="auto" w:fill="FFFFFF"/>
              </w:rPr>
              <w:t>  </w:t>
            </w:r>
            <w:r w:rsidR="003737F1">
              <w:rPr>
                <w:rStyle w:val="eop"/>
                <w:rFonts w:ascii="Calibri" w:hAnsi="Calibri"/>
                <w:color w:val="000000"/>
                <w:shd w:val="clear" w:color="auto" w:fill="FFFFFF"/>
              </w:rPr>
              <w:t> </w:t>
            </w:r>
            <w:r w:rsidR="00583ABC">
              <w:t xml:space="preserve"> </w:t>
            </w:r>
          </w:p>
          <w:p w14:paraId="222DCCAD" w14:textId="26D0D6A3" w:rsidR="00152593" w:rsidRPr="005B4FA3" w:rsidRDefault="00152593" w:rsidP="00AC241E">
            <w:pPr>
              <w:pStyle w:val="NoSpacing"/>
              <w:spacing w:after="120"/>
              <w:rPr>
                <w:rFonts w:ascii="Calibri" w:hAnsi="Calibri"/>
                <w:color w:val="000000"/>
                <w:shd w:val="clear" w:color="auto" w:fill="F2F2F2"/>
              </w:rPr>
            </w:pPr>
            <w:r>
              <w:rPr>
                <w:i/>
                <w:iCs/>
              </w:rPr>
              <w:t xml:space="preserve">EC 7: Administrative </w:t>
            </w:r>
            <w:r>
              <w:t xml:space="preserve">– </w:t>
            </w:r>
            <w:r w:rsidR="002B6647">
              <w:t>Consists of 4 subcategories</w:t>
            </w:r>
            <w:r w:rsidR="00A97CEB">
              <w:t>, 3 of which are relevant to NEUs.</w:t>
            </w:r>
            <w:r w:rsidR="0078735F" w:rsidRPr="00AE73AF">
              <w:t xml:space="preserve"> </w:t>
            </w:r>
            <w:r w:rsidRPr="0048289F">
              <w:rPr>
                <w:rStyle w:val="normaltextrun"/>
                <w:rFonts w:ascii="Calibri" w:hAnsi="Calibri"/>
                <w:color w:val="000000"/>
              </w:rPr>
              <w:t xml:space="preserve">Funds may be used for administering the </w:t>
            </w:r>
            <w:r w:rsidR="00D42614">
              <w:rPr>
                <w:rStyle w:val="normaltextrun"/>
                <w:rFonts w:ascii="Calibri" w:hAnsi="Calibri"/>
                <w:color w:val="000000"/>
              </w:rPr>
              <w:t>LFRF</w:t>
            </w:r>
            <w:r w:rsidRPr="0048289F">
              <w:rPr>
                <w:rStyle w:val="normaltextrun"/>
                <w:rFonts w:ascii="Calibri" w:hAnsi="Calibri"/>
                <w:color w:val="000000"/>
              </w:rPr>
              <w:t xml:space="preserve"> program, including costs of consultants to </w:t>
            </w:r>
            <w:r w:rsidRPr="0048289F">
              <w:rPr>
                <w:rStyle w:val="normaltextrun"/>
                <w:rFonts w:ascii="Calibri" w:hAnsi="Calibri"/>
                <w:color w:val="000000"/>
              </w:rPr>
              <w:lastRenderedPageBreak/>
              <w:t>support effective management and oversight, including consultation for ensuring compliance with legal, regulatory, and other requirements.</w:t>
            </w:r>
            <w:r w:rsidR="00AE73AF" w:rsidDel="00AE73AF">
              <w:rPr>
                <w:rStyle w:val="eop"/>
                <w:rFonts w:ascii="Calibri" w:hAnsi="Calibri"/>
                <w:color w:val="000000"/>
                <w:shd w:val="clear" w:color="auto" w:fill="F2F2F2"/>
              </w:rPr>
              <w:t xml:space="preserve"> </w:t>
            </w:r>
          </w:p>
          <w:p w14:paraId="1F80C759" w14:textId="681658DF" w:rsidR="00F468DA" w:rsidRPr="005B4FA3" w:rsidRDefault="00F468DA" w:rsidP="00AC241E">
            <w:pPr>
              <w:pStyle w:val="NoSpacing"/>
              <w:spacing w:after="120"/>
            </w:pPr>
            <w:r>
              <w:t xml:space="preserve">NEUs </w:t>
            </w:r>
            <w:r w:rsidRPr="00E879F0">
              <w:t>should regularly review Treasury’s guidance</w:t>
            </w:r>
            <w:r w:rsidR="006902A2">
              <w:t xml:space="preserve"> and </w:t>
            </w:r>
            <w:r w:rsidRPr="00E879F0">
              <w:t xml:space="preserve">materials provided by </w:t>
            </w:r>
            <w:r>
              <w:t>GOFERR</w:t>
            </w:r>
            <w:r w:rsidRPr="00E879F0">
              <w:t xml:space="preserve"> </w:t>
            </w:r>
            <w:r w:rsidR="006902A2">
              <w:t xml:space="preserve">on the NEU assistance website </w:t>
            </w:r>
            <w:r w:rsidRPr="00E879F0">
              <w:t>to ensure that funded activities are compliant with the latest version of the grant guidance, which may be updated over time.</w:t>
            </w:r>
            <w:r w:rsidR="007E703B">
              <w:t xml:space="preserve"> </w:t>
            </w:r>
            <w:r w:rsidR="007E703B" w:rsidRPr="007E703B">
              <w:t xml:space="preserve">For more information and guidance about allowable uses of Local Fiscal Recovery Funds and reporting requirements, please see </w:t>
            </w:r>
            <w:hyperlink r:id="rId16" w:history="1">
              <w:r w:rsidR="007E703B" w:rsidRPr="0021728A">
                <w:rPr>
                  <w:rStyle w:val="Hyperlink"/>
                </w:rPr>
                <w:t>U.S. Treasury’s website</w:t>
              </w:r>
            </w:hyperlink>
            <w:r w:rsidR="007E703B" w:rsidRPr="007E703B">
              <w:t>.</w:t>
            </w:r>
          </w:p>
        </w:tc>
      </w:tr>
      <w:tr w:rsidR="00F468DA" w14:paraId="336F9CA8" w14:textId="77777777" w:rsidTr="00AC241E">
        <w:trPr>
          <w:cantSplit/>
          <w:trHeight w:val="1134"/>
        </w:trPr>
        <w:tc>
          <w:tcPr>
            <w:tcW w:w="575" w:type="pct"/>
            <w:vMerge w:val="restart"/>
            <w:textDirection w:val="btLr"/>
          </w:tcPr>
          <w:p w14:paraId="191279F8" w14:textId="77777777" w:rsidR="00F468DA" w:rsidRDefault="00F468DA" w:rsidP="00AC241E">
            <w:pPr>
              <w:pStyle w:val="NoSpacing"/>
              <w:ind w:left="113" w:right="113"/>
              <w:jc w:val="center"/>
            </w:pPr>
            <w:r>
              <w:lastRenderedPageBreak/>
              <w:t>Allowable Costs/Cost Principles</w:t>
            </w:r>
          </w:p>
        </w:tc>
        <w:tc>
          <w:tcPr>
            <w:tcW w:w="4425" w:type="pct"/>
          </w:tcPr>
          <w:p w14:paraId="74DDDBA2" w14:textId="1800743D" w:rsidR="00F468DA" w:rsidRPr="001B6932" w:rsidRDefault="00F468DA" w:rsidP="00AC241E">
            <w:pPr>
              <w:pStyle w:val="NoSpacing"/>
            </w:pPr>
            <w:r>
              <w:t>NEUs</w:t>
            </w:r>
            <w:r w:rsidRPr="001B6932">
              <w:t xml:space="preserve"> should ensure that grant spending adheres to the allowable costs/cost principles laid out in the </w:t>
            </w:r>
            <w:r w:rsidR="00D42614">
              <w:t>LFRF</w:t>
            </w:r>
            <w:r w:rsidRPr="001B6932">
              <w:t xml:space="preserve"> guidance by Treasury. These principles include the following rules which </w:t>
            </w:r>
            <w:r>
              <w:t xml:space="preserve">prime recipients and </w:t>
            </w:r>
            <w:r w:rsidRPr="001B6932">
              <w:t>subrecipients must follow:</w:t>
            </w:r>
          </w:p>
          <w:p w14:paraId="7E3FCD0F" w14:textId="405973B0" w:rsidR="00F468DA" w:rsidRPr="001B6932" w:rsidRDefault="00F468DA" w:rsidP="00AC241E">
            <w:pPr>
              <w:pStyle w:val="NoSpacing"/>
              <w:numPr>
                <w:ilvl w:val="0"/>
                <w:numId w:val="10"/>
              </w:numPr>
            </w:pPr>
            <w:r w:rsidRPr="001B6932">
              <w:rPr>
                <w:u w:val="single"/>
              </w:rPr>
              <w:t>Matching</w:t>
            </w:r>
            <w:r>
              <w:rPr>
                <w:u w:val="single"/>
              </w:rPr>
              <w:t xml:space="preserve">/Pooling </w:t>
            </w:r>
            <w:r w:rsidRPr="001B6932">
              <w:rPr>
                <w:u w:val="single"/>
              </w:rPr>
              <w:t>Funds</w:t>
            </w:r>
            <w:r w:rsidRPr="001B6932">
              <w:t xml:space="preserve">: </w:t>
            </w:r>
            <w:r w:rsidR="005B4FA3">
              <w:t>LFRFs</w:t>
            </w:r>
            <w:r>
              <w:t xml:space="preserve"> </w:t>
            </w:r>
            <w:r w:rsidRPr="001B6932">
              <w:t xml:space="preserve">may be paired with other funding sources for a given project. </w:t>
            </w:r>
            <w:r>
              <w:t xml:space="preserve">Several NEUs or NEUs and Counties may combine funds and work together toward an eligible project. If the state funds joint state/NEU projects, </w:t>
            </w:r>
            <w:r w:rsidR="00D42614">
              <w:t>LFRF</w:t>
            </w:r>
            <w:r>
              <w:t xml:space="preserve"> funds are also likely to be allowed as local matching funds for that state project.</w:t>
            </w:r>
          </w:p>
          <w:p w14:paraId="70AAB859" w14:textId="292AB6A5" w:rsidR="00F468DA" w:rsidRPr="001B6932" w:rsidRDefault="00F468DA" w:rsidP="00AC241E">
            <w:pPr>
              <w:pStyle w:val="NoSpacing"/>
              <w:numPr>
                <w:ilvl w:val="0"/>
                <w:numId w:val="10"/>
              </w:numPr>
            </w:pPr>
            <w:r w:rsidRPr="001B6932">
              <w:rPr>
                <w:u w:val="single"/>
              </w:rPr>
              <w:t>Audit Costs</w:t>
            </w:r>
            <w:r w:rsidRPr="001B6932">
              <w:t xml:space="preserve">: </w:t>
            </w:r>
            <w:r w:rsidR="005B4FA3">
              <w:t>LFRFs</w:t>
            </w:r>
            <w:r w:rsidRPr="001B6932">
              <w:t xml:space="preserve"> funds may be used for a “reasonably proportionate” share of the costs of required for federal single audits performed in accordance with the Uniform Guidance (2 CFR Part 200, Subpart F). </w:t>
            </w:r>
          </w:p>
          <w:p w14:paraId="606F30EE" w14:textId="77777777" w:rsidR="00F468DA" w:rsidRPr="001B6932" w:rsidRDefault="00F468DA" w:rsidP="00AC241E">
            <w:pPr>
              <w:pStyle w:val="NoSpacing"/>
              <w:numPr>
                <w:ilvl w:val="0"/>
                <w:numId w:val="10"/>
              </w:numPr>
            </w:pPr>
            <w:r w:rsidRPr="001B6932">
              <w:rPr>
                <w:u w:val="single"/>
              </w:rPr>
              <w:t>Administrative Costs:</w:t>
            </w:r>
            <w:r w:rsidRPr="001B6932">
              <w:t xml:space="preserve"> A portion of SLFRF funds may go to direct and indirect administrative costs. Subrecipients should be consistent in their treatment of direct or indirect costs and should not charge the same costs to both categories or to other programs (i.e., no duplication of benefit). </w:t>
            </w:r>
          </w:p>
          <w:p w14:paraId="24B50B61" w14:textId="2A5DE384" w:rsidR="00F468DA" w:rsidRPr="001B6932" w:rsidRDefault="00F468DA" w:rsidP="00AC241E">
            <w:pPr>
              <w:pStyle w:val="NoSpacing"/>
              <w:numPr>
                <w:ilvl w:val="1"/>
                <w:numId w:val="10"/>
              </w:numPr>
            </w:pPr>
            <w:r w:rsidRPr="001B6932">
              <w:rPr>
                <w:u w:val="single"/>
              </w:rPr>
              <w:t>Note on Negotiated Indirect Cost Rates (NICRAs):</w:t>
            </w:r>
            <w:r w:rsidRPr="001B6932">
              <w:t xml:space="preserve"> If a subrecipient has an indirect cost rate for federal funding that is approved and current, then the recipient may use its NICRA. I</w:t>
            </w:r>
            <w:r w:rsidR="00E56DF8">
              <w:t>f</w:t>
            </w:r>
            <w:r w:rsidRPr="001B6932">
              <w:t xml:space="preserve"> the recipient does not have a NICRA, then administrative costs should not exceed 10 percent of the modified total direct costs according to 2 CFR 200.414(f)</w:t>
            </w:r>
            <w:r w:rsidR="00E56DF8">
              <w:t xml:space="preserve"> (e.g., </w:t>
            </w:r>
            <w:r w:rsidR="00824C0C">
              <w:t>the</w:t>
            </w:r>
            <w:r w:rsidR="00E56DF8">
              <w:t xml:space="preserve"> </w:t>
            </w:r>
            <w:r w:rsidR="00E56DF8">
              <w:rPr>
                <w:i/>
                <w:iCs/>
              </w:rPr>
              <w:t>de minimis</w:t>
            </w:r>
            <w:r w:rsidR="00824C0C">
              <w:t xml:space="preserve"> indirect cost rate)</w:t>
            </w:r>
            <w:r w:rsidRPr="001B6932">
              <w:t>.</w:t>
            </w:r>
          </w:p>
          <w:p w14:paraId="508257D0" w14:textId="6C6C6691" w:rsidR="00F468DA" w:rsidRDefault="00F468DA" w:rsidP="00AC241E">
            <w:pPr>
              <w:pStyle w:val="NoSpacing"/>
              <w:numPr>
                <w:ilvl w:val="0"/>
                <w:numId w:val="10"/>
              </w:numPr>
            </w:pPr>
            <w:r w:rsidRPr="001B6932">
              <w:rPr>
                <w:u w:val="single"/>
              </w:rPr>
              <w:t>Salaries and Expenses:</w:t>
            </w:r>
            <w:r w:rsidRPr="001B6932">
              <w:t xml:space="preserve"> SLFRF funds may be used to pay for certain employees’ wages, salaries, and covered benefits. </w:t>
            </w:r>
            <w:r w:rsidR="3DBBF251">
              <w:t xml:space="preserve">Refer to the </w:t>
            </w:r>
            <w:hyperlink r:id="rId17" w:history="1">
              <w:r w:rsidR="006A2A00" w:rsidRPr="006A2A00">
                <w:rPr>
                  <w:rStyle w:val="Hyperlink"/>
                </w:rPr>
                <w:t xml:space="preserve">SLFRF </w:t>
              </w:r>
              <w:r w:rsidR="3DBBF251" w:rsidRPr="006A2A00">
                <w:rPr>
                  <w:rStyle w:val="Hyperlink"/>
                </w:rPr>
                <w:t>Final Rule</w:t>
              </w:r>
            </w:hyperlink>
            <w:r w:rsidR="3DBBF251">
              <w:t xml:space="preserve"> for more detail. </w:t>
            </w:r>
          </w:p>
        </w:tc>
      </w:tr>
      <w:tr w:rsidR="00F468DA" w14:paraId="4385BA74" w14:textId="77777777" w:rsidTr="00AC241E">
        <w:trPr>
          <w:cantSplit/>
          <w:trHeight w:val="1134"/>
        </w:trPr>
        <w:tc>
          <w:tcPr>
            <w:tcW w:w="575" w:type="pct"/>
            <w:vMerge/>
            <w:textDirection w:val="btLr"/>
          </w:tcPr>
          <w:p w14:paraId="5BD9A78E" w14:textId="77777777" w:rsidR="00F468DA" w:rsidRDefault="00F468DA" w:rsidP="00AC241E">
            <w:pPr>
              <w:pStyle w:val="NoSpacing"/>
              <w:ind w:left="113" w:right="113"/>
              <w:jc w:val="center"/>
            </w:pPr>
          </w:p>
        </w:tc>
        <w:tc>
          <w:tcPr>
            <w:tcW w:w="4425" w:type="pct"/>
          </w:tcPr>
          <w:p w14:paraId="47FDDA36" w14:textId="3019FC60" w:rsidR="00F468DA" w:rsidRPr="0076248C" w:rsidRDefault="00F468DA" w:rsidP="00AC241E">
            <w:pPr>
              <w:pStyle w:val="NoSpacing"/>
            </w:pPr>
            <w:r>
              <w:t xml:space="preserve">The following definitions apply to </w:t>
            </w:r>
            <w:r w:rsidR="005B4FA3">
              <w:t>LFRFs</w:t>
            </w:r>
            <w:r>
              <w:t>:</w:t>
            </w:r>
          </w:p>
          <w:p w14:paraId="70A92B79" w14:textId="77777777" w:rsidR="00F468DA" w:rsidRDefault="00F468DA" w:rsidP="00AC241E">
            <w:pPr>
              <w:pStyle w:val="NoSpacing"/>
              <w:numPr>
                <w:ilvl w:val="0"/>
                <w:numId w:val="21"/>
              </w:numPr>
            </w:pPr>
            <w:r w:rsidRPr="00572625">
              <w:rPr>
                <w:b/>
                <w:bCs/>
              </w:rPr>
              <w:t>Administrative costs</w:t>
            </w:r>
            <w:r w:rsidRPr="00572625">
              <w:t xml:space="preserve"> may include consultant costs to support effective management and oversight, including consultation for ensuring compliance with legal, regulatory, and other requirements.</w:t>
            </w:r>
          </w:p>
          <w:p w14:paraId="24F5A357" w14:textId="5434A8CA" w:rsidR="00F468DA" w:rsidRDefault="00F468DA" w:rsidP="00AC241E">
            <w:pPr>
              <w:pStyle w:val="NoSpacing"/>
              <w:numPr>
                <w:ilvl w:val="0"/>
                <w:numId w:val="21"/>
              </w:numPr>
            </w:pPr>
            <w:r w:rsidRPr="00572625">
              <w:rPr>
                <w:b/>
                <w:bCs/>
              </w:rPr>
              <w:t>Direct costs</w:t>
            </w:r>
            <w:r w:rsidRPr="00572625">
              <w:t xml:space="preserve"> </w:t>
            </w:r>
            <w:r>
              <w:t>include the</w:t>
            </w:r>
            <w:r w:rsidRPr="00572625">
              <w:t xml:space="preserve"> costs of implementing the </w:t>
            </w:r>
            <w:r w:rsidR="00D42614">
              <w:t>LFRF</w:t>
            </w:r>
            <w:r w:rsidRPr="00572625">
              <w:t xml:space="preserve"> program objectives, such as</w:t>
            </w:r>
            <w:r>
              <w:t xml:space="preserve"> </w:t>
            </w:r>
            <w:r w:rsidRPr="00572625">
              <w:t>contract support, materials, and supplies for a project.</w:t>
            </w:r>
          </w:p>
          <w:p w14:paraId="7E88071C" w14:textId="77777777" w:rsidR="00F468DA" w:rsidRDefault="00F468DA" w:rsidP="00AC241E">
            <w:pPr>
              <w:pStyle w:val="NoSpacing"/>
              <w:numPr>
                <w:ilvl w:val="0"/>
                <w:numId w:val="21"/>
              </w:numPr>
            </w:pPr>
            <w:r w:rsidRPr="00572625">
              <w:rPr>
                <w:b/>
                <w:bCs/>
              </w:rPr>
              <w:t>Indirect costs</w:t>
            </w:r>
            <w:r w:rsidRPr="00572625">
              <w:t xml:space="preserve"> are general overhead costs of an organization where a portion of such costs </w:t>
            </w:r>
            <w:r>
              <w:t>is</w:t>
            </w:r>
            <w:r w:rsidRPr="00572625">
              <w:t xml:space="preserve"> allocable to the SLFRF award</w:t>
            </w:r>
            <w:r>
              <w:t>,</w:t>
            </w:r>
            <w:r w:rsidRPr="00572625">
              <w:t xml:space="preserve"> such as the cost of facilities or administrative functions like a director’s</w:t>
            </w:r>
            <w:r>
              <w:t xml:space="preserve"> </w:t>
            </w:r>
            <w:r w:rsidRPr="00572625">
              <w:t>office</w:t>
            </w:r>
            <w:r>
              <w:t>.</w:t>
            </w:r>
          </w:p>
        </w:tc>
      </w:tr>
      <w:tr w:rsidR="00F468DA" w14:paraId="393CB6B8" w14:textId="77777777" w:rsidTr="00AC241E">
        <w:trPr>
          <w:cantSplit/>
          <w:trHeight w:val="1493"/>
        </w:trPr>
        <w:tc>
          <w:tcPr>
            <w:tcW w:w="575" w:type="pct"/>
            <w:textDirection w:val="btLr"/>
          </w:tcPr>
          <w:p w14:paraId="7C4EC296" w14:textId="77777777" w:rsidR="00F468DA" w:rsidRDefault="00F468DA" w:rsidP="00AC241E">
            <w:pPr>
              <w:pStyle w:val="NoSpacing"/>
              <w:ind w:left="113" w:right="113"/>
            </w:pPr>
            <w:r>
              <w:t>Cash Management</w:t>
            </w:r>
          </w:p>
        </w:tc>
        <w:tc>
          <w:tcPr>
            <w:tcW w:w="4425" w:type="pct"/>
          </w:tcPr>
          <w:p w14:paraId="748BFB83" w14:textId="71ADBC99" w:rsidR="00F468DA" w:rsidRDefault="005B4FA3" w:rsidP="00AC241E">
            <w:pPr>
              <w:pStyle w:val="NoSpacing"/>
            </w:pPr>
            <w:r>
              <w:t>LFRFs</w:t>
            </w:r>
            <w:r w:rsidR="00F468DA">
              <w:t xml:space="preserve"> </w:t>
            </w:r>
            <w:r w:rsidR="00F468DA" w:rsidRPr="00FC1291">
              <w:t>may be placed in interest-bearing accounts. If interest is earned from SLFRF funds, that interest does not need to be remitted to Treasury and use of the interest is not limited to the eligible uses laid out by Treasury</w:t>
            </w:r>
            <w:r w:rsidR="00F468DA">
              <w:t>.</w:t>
            </w:r>
          </w:p>
        </w:tc>
      </w:tr>
      <w:tr w:rsidR="00F468DA" w14:paraId="005C6D71" w14:textId="77777777" w:rsidTr="00AC241E">
        <w:trPr>
          <w:cantSplit/>
          <w:trHeight w:val="1134"/>
        </w:trPr>
        <w:tc>
          <w:tcPr>
            <w:tcW w:w="575" w:type="pct"/>
            <w:textDirection w:val="btLr"/>
          </w:tcPr>
          <w:p w14:paraId="693A7A7F" w14:textId="77777777" w:rsidR="00F468DA" w:rsidRDefault="00F468DA" w:rsidP="00AC241E">
            <w:pPr>
              <w:pStyle w:val="NoSpacing"/>
              <w:ind w:left="113" w:right="113"/>
              <w:jc w:val="center"/>
            </w:pPr>
            <w:r>
              <w:lastRenderedPageBreak/>
              <w:t>Equipment and Real Property Management</w:t>
            </w:r>
          </w:p>
        </w:tc>
        <w:tc>
          <w:tcPr>
            <w:tcW w:w="4425" w:type="pct"/>
          </w:tcPr>
          <w:p w14:paraId="037A492F" w14:textId="3543ACAF" w:rsidR="00F468DA" w:rsidRDefault="00F468DA" w:rsidP="00AC241E">
            <w:pPr>
              <w:pStyle w:val="NoSpacing"/>
            </w:pPr>
            <w:r>
              <w:t xml:space="preserve">NEUs, whether using funds as a prime recipient or subrecipient, should use equipment for the authorized purpose of the </w:t>
            </w:r>
            <w:r w:rsidR="00D42614">
              <w:t>LFRF</w:t>
            </w:r>
            <w:r>
              <w:t xml:space="preserve"> funds during the period of performance from March 3, 2021 and December 31, 202</w:t>
            </w:r>
            <w:r w:rsidR="00CA1876">
              <w:t>6,</w:t>
            </w:r>
            <w:r>
              <w:t xml:space="preserve"> or until the property is no longer needed for the project. When the property is no longer needed, the equipment may be used in other activities supported by Treasury, in the following order of priority:</w:t>
            </w:r>
          </w:p>
          <w:p w14:paraId="05564AE6" w14:textId="77777777" w:rsidR="00F468DA" w:rsidRDefault="00F468DA" w:rsidP="00AC241E">
            <w:pPr>
              <w:pStyle w:val="NoSpacing"/>
              <w:numPr>
                <w:ilvl w:val="0"/>
                <w:numId w:val="24"/>
              </w:numPr>
            </w:pPr>
            <w:r>
              <w:t>Activities under ARPA-SLFRF under Treasury, which funded the original program or project, then</w:t>
            </w:r>
          </w:p>
          <w:p w14:paraId="5A83FD38" w14:textId="77777777" w:rsidR="00F468DA" w:rsidRDefault="00F468DA" w:rsidP="00AC241E">
            <w:pPr>
              <w:pStyle w:val="NoSpacing"/>
              <w:numPr>
                <w:ilvl w:val="0"/>
                <w:numId w:val="24"/>
              </w:numPr>
            </w:pPr>
            <w:r>
              <w:t>Activities under Federal awards from other Federal awarding agencies. This includes consolidated equipment for information technology systems.</w:t>
            </w:r>
          </w:p>
          <w:p w14:paraId="149638DE" w14:textId="77777777" w:rsidR="00F468DA" w:rsidRDefault="00F468DA" w:rsidP="00AC241E">
            <w:pPr>
              <w:pStyle w:val="NoSpacing"/>
            </w:pPr>
          </w:p>
          <w:p w14:paraId="5A54C027" w14:textId="45FEBAEC" w:rsidR="00F468DA" w:rsidRDefault="00F468DA" w:rsidP="00AC241E">
            <w:pPr>
              <w:pStyle w:val="NoSpacing"/>
            </w:pPr>
            <w:r>
              <w:t xml:space="preserve">The subrecipient must also make equipment available for use on other projects or programs currently or previously supported by the Federal Government if the use doesn’t interfere with SLFRF projects or programs. </w:t>
            </w:r>
          </w:p>
        </w:tc>
      </w:tr>
      <w:tr w:rsidR="00247B1A" w14:paraId="5BF13FBC" w14:textId="77777777" w:rsidTr="00AC241E">
        <w:trPr>
          <w:cantSplit/>
          <w:trHeight w:val="1898"/>
        </w:trPr>
        <w:tc>
          <w:tcPr>
            <w:tcW w:w="575" w:type="pct"/>
            <w:textDirection w:val="btLr"/>
          </w:tcPr>
          <w:p w14:paraId="6F043C6D" w14:textId="1CF40AF7" w:rsidR="00247B1A" w:rsidRDefault="00247B1A" w:rsidP="00AC241E">
            <w:pPr>
              <w:pStyle w:val="NoSpacing"/>
              <w:ind w:left="113" w:right="113"/>
              <w:jc w:val="center"/>
            </w:pPr>
            <w:r>
              <w:t>Procu</w:t>
            </w:r>
            <w:r w:rsidR="006D1479">
              <w:t>rement and sub</w:t>
            </w:r>
            <w:r w:rsidR="00D4637B">
              <w:t>recipients</w:t>
            </w:r>
          </w:p>
        </w:tc>
        <w:tc>
          <w:tcPr>
            <w:tcW w:w="4425" w:type="pct"/>
          </w:tcPr>
          <w:p w14:paraId="04CB34E4" w14:textId="50A8746E" w:rsidR="00247B1A" w:rsidRDefault="00D4637B" w:rsidP="00AC241E">
            <w:r>
              <w:t xml:space="preserve">NEUs </w:t>
            </w:r>
            <w:r w:rsidR="00A869A6">
              <w:t xml:space="preserve">can use their </w:t>
            </w:r>
            <w:r w:rsidR="00D42614">
              <w:t>LFRF</w:t>
            </w:r>
            <w:r w:rsidR="00A869A6">
              <w:t xml:space="preserve"> funds to either issue subgrants or enter into contracts</w:t>
            </w:r>
            <w:r w:rsidR="00016252">
              <w:t xml:space="preserve">. Additional detailed guidance on how to </w:t>
            </w:r>
            <w:r w:rsidR="005372E6">
              <w:t xml:space="preserve">do this under Uniform Guidance requirements is </w:t>
            </w:r>
            <w:r w:rsidR="00B35647">
              <w:t>detailed below in the “</w:t>
            </w:r>
            <w:r w:rsidR="00CA2B25">
              <w:t>How can an NEU</w:t>
            </w:r>
            <w:r w:rsidR="00C103B0">
              <w:t xml:space="preserve"> Prime Recipient spend the </w:t>
            </w:r>
            <w:r w:rsidR="00D42614">
              <w:t>LFRF</w:t>
            </w:r>
            <w:r w:rsidR="00C103B0">
              <w:t xml:space="preserve"> Funds”</w:t>
            </w:r>
            <w:r w:rsidR="00B35647">
              <w:t xml:space="preserve"> section.</w:t>
            </w:r>
          </w:p>
          <w:p w14:paraId="06A98900" w14:textId="77777777" w:rsidR="002579E2" w:rsidRDefault="002579E2" w:rsidP="00AC241E"/>
          <w:p w14:paraId="108F13A4" w14:textId="778DFD1E" w:rsidR="002579E2" w:rsidRPr="00D16832" w:rsidRDefault="002579E2" w:rsidP="00AC241E">
            <w:r>
              <w:t>NEUs may also directly set up a beneficiary program.</w:t>
            </w:r>
          </w:p>
        </w:tc>
      </w:tr>
      <w:tr w:rsidR="00F468DA" w14:paraId="6005E482" w14:textId="77777777" w:rsidTr="00AC241E">
        <w:trPr>
          <w:cantSplit/>
          <w:trHeight w:val="1134"/>
        </w:trPr>
        <w:tc>
          <w:tcPr>
            <w:tcW w:w="575" w:type="pct"/>
            <w:textDirection w:val="btLr"/>
          </w:tcPr>
          <w:p w14:paraId="74DF3049" w14:textId="77777777" w:rsidR="00F468DA" w:rsidRDefault="00F468DA" w:rsidP="00AC241E">
            <w:pPr>
              <w:pStyle w:val="NoSpacing"/>
              <w:ind w:left="113" w:right="113"/>
              <w:jc w:val="center"/>
            </w:pPr>
            <w:r>
              <w:t>Period of Performance</w:t>
            </w:r>
          </w:p>
        </w:tc>
        <w:tc>
          <w:tcPr>
            <w:tcW w:w="4425" w:type="pct"/>
          </w:tcPr>
          <w:p w14:paraId="314C4F1E" w14:textId="77777777" w:rsidR="00F468DA" w:rsidRPr="00D16832" w:rsidRDefault="00F468DA" w:rsidP="00AC241E">
            <w:r w:rsidRPr="00D16832">
              <w:t>The following timeframes apply to use of the funds:</w:t>
            </w:r>
          </w:p>
          <w:p w14:paraId="5783F7A8" w14:textId="77777777" w:rsidR="00F468DA" w:rsidRPr="00D16832" w:rsidRDefault="00F468DA" w:rsidP="00AC241E"/>
          <w:p w14:paraId="7CC0C5FD" w14:textId="77777777" w:rsidR="00F468DA" w:rsidRPr="00D16832" w:rsidRDefault="00F468DA" w:rsidP="00AC241E">
            <w:pPr>
              <w:ind w:left="720"/>
            </w:pPr>
            <w:r w:rsidRPr="00D16832">
              <w:rPr>
                <w:u w:val="single"/>
              </w:rPr>
              <w:t>Timeframe to award (obligate) funds</w:t>
            </w:r>
            <w:r w:rsidRPr="00D16832">
              <w:t>: March 3, 2021- December 31, 2024</w:t>
            </w:r>
          </w:p>
          <w:p w14:paraId="0A787293" w14:textId="77777777" w:rsidR="00F468DA" w:rsidRPr="00D16832" w:rsidRDefault="00F468DA" w:rsidP="00AC241E">
            <w:pPr>
              <w:ind w:left="720"/>
            </w:pPr>
            <w:r w:rsidRPr="00D16832">
              <w:rPr>
                <w:u w:val="single"/>
              </w:rPr>
              <w:t>Timeframe to expend (liquidate) funds</w:t>
            </w:r>
            <w:r w:rsidRPr="00D16832">
              <w:t>: December 31, 2026</w:t>
            </w:r>
          </w:p>
          <w:p w14:paraId="49D02806" w14:textId="77777777" w:rsidR="00F468DA" w:rsidRPr="00D16832" w:rsidRDefault="00F468DA" w:rsidP="00AC241E"/>
          <w:p w14:paraId="519C57FA" w14:textId="499D98CA" w:rsidR="00F468DA" w:rsidRPr="00D16832" w:rsidRDefault="00F468DA" w:rsidP="00AC241E">
            <w:r w:rsidRPr="00D16832">
              <w:t xml:space="preserve">If </w:t>
            </w:r>
            <w:r>
              <w:t xml:space="preserve">an </w:t>
            </w:r>
            <w:r w:rsidRPr="00D16832">
              <w:t xml:space="preserve">NEU has concerns about its ability to spend grant funds within these timeframes, this information must be communicated to GOFERR as early as possible. Grant spending outside of the above timeframes will be considered non-compliant and may result in enforcement actions such as requiring repayment of applicable grant funds to the prime recipient or Treasury. In cases where funds are acquired under prime recipient status through Local Fiscal Recovery Funds, non-executed funds may need to be reimbursed to Treasury. In cases where there is projected underspending </w:t>
            </w:r>
            <w:r w:rsidR="00131249">
              <w:t xml:space="preserve">by an NEU </w:t>
            </w:r>
            <w:r w:rsidRPr="00D16832">
              <w:t xml:space="preserve">as a subrecipient, GOFERR may </w:t>
            </w:r>
            <w:r w:rsidR="00131249">
              <w:t xml:space="preserve">recapture and/or </w:t>
            </w:r>
            <w:r w:rsidRPr="00D16832">
              <w:t xml:space="preserve">re-allocate funding to another project or eligible use. </w:t>
            </w:r>
          </w:p>
          <w:p w14:paraId="75E7FDF0" w14:textId="77777777" w:rsidR="00F468DA" w:rsidRDefault="00F468DA" w:rsidP="00AC241E">
            <w:pPr>
              <w:pStyle w:val="NoSpacing"/>
            </w:pPr>
          </w:p>
        </w:tc>
      </w:tr>
      <w:tr w:rsidR="00F468DA" w14:paraId="740FA209" w14:textId="77777777" w:rsidTr="00AC241E">
        <w:trPr>
          <w:cantSplit/>
          <w:trHeight w:val="1700"/>
        </w:trPr>
        <w:tc>
          <w:tcPr>
            <w:tcW w:w="575" w:type="pct"/>
            <w:textDirection w:val="btLr"/>
          </w:tcPr>
          <w:p w14:paraId="5D1C4709" w14:textId="77777777" w:rsidR="00F468DA" w:rsidRDefault="00F468DA" w:rsidP="00AC241E">
            <w:pPr>
              <w:pStyle w:val="NoSpacing"/>
              <w:ind w:left="113" w:right="113"/>
              <w:jc w:val="center"/>
            </w:pPr>
            <w:r>
              <w:t>Recordkeeping Requirements</w:t>
            </w:r>
          </w:p>
        </w:tc>
        <w:tc>
          <w:tcPr>
            <w:tcW w:w="4425" w:type="pct"/>
            <w:vAlign w:val="center"/>
          </w:tcPr>
          <w:p w14:paraId="20DE0F1F" w14:textId="77777777" w:rsidR="00F468DA" w:rsidRPr="004E17CD" w:rsidRDefault="00F468DA" w:rsidP="00AC241E">
            <w:r w:rsidRPr="004E17CD">
              <w:t>Financial records and supporting documents related to the award must be retained for a period of five (5) years after all funds have been expended or returned to Treasury, whichever is later.</w:t>
            </w:r>
          </w:p>
          <w:p w14:paraId="01F6CC7E" w14:textId="77777777" w:rsidR="00F468DA" w:rsidRDefault="00F468DA" w:rsidP="00AC241E">
            <w:pPr>
              <w:pStyle w:val="NoSpacing"/>
            </w:pPr>
          </w:p>
        </w:tc>
      </w:tr>
      <w:tr w:rsidR="00F468DA" w14:paraId="5AA490FC" w14:textId="77777777" w:rsidTr="00AC241E">
        <w:trPr>
          <w:cantSplit/>
          <w:trHeight w:val="1134"/>
        </w:trPr>
        <w:tc>
          <w:tcPr>
            <w:tcW w:w="575" w:type="pct"/>
            <w:textDirection w:val="btLr"/>
          </w:tcPr>
          <w:p w14:paraId="16C8302E" w14:textId="77777777" w:rsidR="00F468DA" w:rsidRDefault="00F468DA" w:rsidP="00AC241E">
            <w:pPr>
              <w:pStyle w:val="NoSpacing"/>
              <w:ind w:left="113" w:right="113"/>
              <w:jc w:val="center"/>
            </w:pPr>
            <w:r>
              <w:t>Single Audit</w:t>
            </w:r>
          </w:p>
        </w:tc>
        <w:tc>
          <w:tcPr>
            <w:tcW w:w="4425" w:type="pct"/>
          </w:tcPr>
          <w:p w14:paraId="18ED1753" w14:textId="77777777" w:rsidR="00F468DA" w:rsidRDefault="00F468DA" w:rsidP="00AC241E">
            <w:pPr>
              <w:pStyle w:val="NoSpacing"/>
            </w:pPr>
            <w:r w:rsidRPr="00FC1291">
              <w:t xml:space="preserve">NEUs, as prime recipients or subrecipients, that expend more than $750,000 in Federal awards during their fiscal year will be subject to an audit under the Single Audit Act and its implementing regulation at 2 CFR Part 200, Subpart F regarding audit requirements. </w:t>
            </w:r>
          </w:p>
        </w:tc>
      </w:tr>
      <w:tr w:rsidR="00F468DA" w14:paraId="09446C84" w14:textId="77777777" w:rsidTr="00AC241E">
        <w:trPr>
          <w:cantSplit/>
          <w:trHeight w:val="1134"/>
        </w:trPr>
        <w:tc>
          <w:tcPr>
            <w:tcW w:w="575" w:type="pct"/>
            <w:textDirection w:val="btLr"/>
          </w:tcPr>
          <w:p w14:paraId="765AF879" w14:textId="77777777" w:rsidR="00F468DA" w:rsidRDefault="00F468DA" w:rsidP="00AC241E">
            <w:pPr>
              <w:pStyle w:val="NoSpacing"/>
              <w:ind w:left="113" w:right="113"/>
              <w:jc w:val="center"/>
            </w:pPr>
            <w:r>
              <w:lastRenderedPageBreak/>
              <w:t>Reporting</w:t>
            </w:r>
          </w:p>
        </w:tc>
        <w:tc>
          <w:tcPr>
            <w:tcW w:w="4425" w:type="pct"/>
          </w:tcPr>
          <w:p w14:paraId="1AFB2D80" w14:textId="77777777" w:rsidR="00F468DA" w:rsidRDefault="00F468DA" w:rsidP="00AC241E">
            <w:pPr>
              <w:pStyle w:val="NoSpacing"/>
            </w:pPr>
            <w:r>
              <w:t xml:space="preserve">GOFERR will be offering informational webinars and supporting documents to provide your NEU with instructions on how to report programmatic and financial data. This information is necessary in order to be compliant with Treasury reporting requirements and to maintain adequate oversight over subrecipients. Instructions will be provided on whether to report on a cash or accrual basis, which must be reported consistently by SLFRF prime recipients. </w:t>
            </w:r>
          </w:p>
          <w:p w14:paraId="310D3E93" w14:textId="77777777" w:rsidR="00F468DA" w:rsidRDefault="00F468DA" w:rsidP="00AC241E">
            <w:pPr>
              <w:pStyle w:val="NoSpacing"/>
            </w:pPr>
          </w:p>
          <w:p w14:paraId="64265448" w14:textId="77777777" w:rsidR="00F468DA" w:rsidRDefault="00F468DA" w:rsidP="00AC241E">
            <w:pPr>
              <w:pStyle w:val="NoSpacing"/>
            </w:pPr>
            <w:r>
              <w:t>NEUs regardless of prime recipient or subrecipient status should maintain accounting records for compiling and reporting accurate, compliant financial data, using appropriate accounting standards and principles. Use of a financial management system (for example QuickBooks, Visual Bookkeeper, Socrates Media, Peachtree or a Custom Proprietary System) is strongly recommended.</w:t>
            </w:r>
          </w:p>
          <w:p w14:paraId="2D7C47EB" w14:textId="77777777" w:rsidR="00F468DA" w:rsidRDefault="00F468DA" w:rsidP="00AC241E">
            <w:pPr>
              <w:pStyle w:val="NoSpacing"/>
            </w:pPr>
          </w:p>
          <w:p w14:paraId="13DFBC38" w14:textId="0DA8FB87" w:rsidR="00F468DA" w:rsidRPr="00CD2B6F" w:rsidRDefault="00F468DA" w:rsidP="00AC241E">
            <w:pPr>
              <w:spacing w:after="160" w:line="259" w:lineRule="auto"/>
              <w:rPr>
                <w:i/>
                <w:iCs/>
              </w:rPr>
            </w:pPr>
            <w:r w:rsidRPr="00F762E5">
              <w:rPr>
                <w:i/>
                <w:iCs/>
                <w:color w:val="0070C0"/>
              </w:rPr>
              <w:t>Note</w:t>
            </w:r>
            <w:r w:rsidRPr="00F762E5">
              <w:rPr>
                <w:i/>
                <w:iCs/>
              </w:rPr>
              <w:t xml:space="preserve">: </w:t>
            </w:r>
            <w:r w:rsidR="00287E7E">
              <w:rPr>
                <w:i/>
                <w:iCs/>
              </w:rPr>
              <w:t xml:space="preserve">For </w:t>
            </w:r>
            <w:r w:rsidRPr="00F762E5">
              <w:rPr>
                <w:i/>
                <w:iCs/>
              </w:rPr>
              <w:t>NEU</w:t>
            </w:r>
            <w:r>
              <w:rPr>
                <w:i/>
                <w:iCs/>
              </w:rPr>
              <w:t>s</w:t>
            </w:r>
            <w:r w:rsidRPr="00F762E5">
              <w:rPr>
                <w:i/>
                <w:iCs/>
              </w:rPr>
              <w:t xml:space="preserve"> that are utilizing other funding sources for a program that is also funded with </w:t>
            </w:r>
            <w:r w:rsidR="00D42614">
              <w:rPr>
                <w:i/>
                <w:iCs/>
              </w:rPr>
              <w:t>LFRF</w:t>
            </w:r>
            <w:r w:rsidRPr="00F762E5">
              <w:rPr>
                <w:i/>
                <w:iCs/>
              </w:rPr>
              <w:t xml:space="preserve"> funds, it is recommended to utilize an accounting system that identifies the receipts and expenditures of program funds separately for each award. This will allow for financial reporting data to be more easily itemized.</w:t>
            </w:r>
          </w:p>
        </w:tc>
      </w:tr>
    </w:tbl>
    <w:p w14:paraId="1AAE4CAD" w14:textId="77777777" w:rsidR="007B1B2F" w:rsidRDefault="007B1B2F" w:rsidP="0048289F"/>
    <w:p w14:paraId="79CD951F" w14:textId="194A8A49" w:rsidR="009C016A" w:rsidRDefault="0027062D" w:rsidP="0048289F">
      <w:pPr>
        <w:pStyle w:val="Heading1"/>
      </w:pPr>
      <w:bookmarkStart w:id="17" w:name="_Toc85131142"/>
      <w:bookmarkStart w:id="18" w:name="_Toc85442001"/>
      <w:r>
        <w:t>How can an NEU</w:t>
      </w:r>
      <w:r w:rsidR="00036A39">
        <w:t xml:space="preserve"> </w:t>
      </w:r>
      <w:r w:rsidR="009C016A">
        <w:t>Prime Recipient</w:t>
      </w:r>
      <w:r w:rsidR="00CA2B25">
        <w:t xml:space="preserve"> spend the </w:t>
      </w:r>
      <w:r w:rsidR="00D42614">
        <w:t>LFRF</w:t>
      </w:r>
      <w:r w:rsidR="00CA2B25">
        <w:t xml:space="preserve"> funds</w:t>
      </w:r>
      <w:r w:rsidR="00BA15D7">
        <w:t>?</w:t>
      </w:r>
      <w:bookmarkEnd w:id="17"/>
      <w:bookmarkEnd w:id="18"/>
    </w:p>
    <w:p w14:paraId="689C1FF4" w14:textId="0067D3B5" w:rsidR="00077BC9" w:rsidRDefault="00077BC9" w:rsidP="002E63CA">
      <w:pPr>
        <w:pStyle w:val="NoSpacing"/>
      </w:pPr>
    </w:p>
    <w:p w14:paraId="49BDA11E" w14:textId="789F1B54" w:rsidR="00EA1B62" w:rsidRDefault="00077BC9" w:rsidP="002E63CA">
      <w:pPr>
        <w:pStyle w:val="NoSpacing"/>
      </w:pPr>
      <w:r>
        <w:t xml:space="preserve">As prime recipients of </w:t>
      </w:r>
      <w:r w:rsidR="00D42614">
        <w:t>LFRF</w:t>
      </w:r>
      <w:r>
        <w:t xml:space="preserve">, </w:t>
      </w:r>
      <w:r w:rsidR="004F54D6">
        <w:t xml:space="preserve">NEUs are responsible for determining how they want to spend the funds, within the allowed uses published by Treasury in the Interim Final Rule and other </w:t>
      </w:r>
      <w:r w:rsidR="00D42614">
        <w:t>LFRF</w:t>
      </w:r>
      <w:r w:rsidR="004F54D6">
        <w:t xml:space="preserve"> guidance. Treasury will not pre-approve specific projects</w:t>
      </w:r>
      <w:r w:rsidR="00DC4310">
        <w:t xml:space="preserve">, and the state is specifically prohibited from </w:t>
      </w:r>
      <w:r w:rsidR="008A6D17">
        <w:t xml:space="preserve">approving/disapproving </w:t>
      </w:r>
      <w:r w:rsidR="00FC2F5D">
        <w:t xml:space="preserve">NEU </w:t>
      </w:r>
      <w:r w:rsidR="00BF4FD7">
        <w:t xml:space="preserve">uses of </w:t>
      </w:r>
      <w:r w:rsidR="00D42614">
        <w:t>LFRF</w:t>
      </w:r>
      <w:r w:rsidR="00BF4FD7">
        <w:t xml:space="preserve"> funds.</w:t>
      </w:r>
      <w:r>
        <w:t xml:space="preserve"> </w:t>
      </w:r>
      <w:r w:rsidR="00EE5D87">
        <w:t xml:space="preserve">NEUs </w:t>
      </w:r>
      <w:r w:rsidR="00BF4FD7">
        <w:t xml:space="preserve">need to </w:t>
      </w:r>
      <w:r w:rsidR="00EE5D87">
        <w:t>determin</w:t>
      </w:r>
      <w:r w:rsidR="00BF4FD7">
        <w:t>e how they want to use the funds</w:t>
      </w:r>
      <w:r w:rsidR="0043751A">
        <w:t xml:space="preserve">. After deciding on one or many eligible projects, </w:t>
      </w:r>
      <w:r w:rsidR="00EA1B62">
        <w:t xml:space="preserve">it’s then best practice </w:t>
      </w:r>
      <w:r w:rsidR="0043751A">
        <w:t xml:space="preserve">for the NEU </w:t>
      </w:r>
      <w:r w:rsidR="00EA1B62">
        <w:t xml:space="preserve">to write a memo describing the project and explaining why the NEU believes that it meets Treasury’s guidance on eligible uses of the </w:t>
      </w:r>
      <w:r w:rsidR="00D42614">
        <w:t>LFRF</w:t>
      </w:r>
      <w:r w:rsidR="00EA1B62">
        <w:t>.</w:t>
      </w:r>
      <w:r w:rsidR="006F6CC7">
        <w:t xml:space="preserve"> Guidance detailing eligi</w:t>
      </w:r>
      <w:r w:rsidR="00225DC9">
        <w:t>ble uses can be found</w:t>
      </w:r>
      <w:r w:rsidR="004F1127">
        <w:t xml:space="preserve"> in the Final Rule</w:t>
      </w:r>
      <w:r w:rsidR="00212886">
        <w:t>,</w:t>
      </w:r>
      <w:r w:rsidR="00225DC9">
        <w:t xml:space="preserve"> </w:t>
      </w:r>
      <w:r w:rsidR="00AD2154">
        <w:t xml:space="preserve">found </w:t>
      </w:r>
      <w:hyperlink r:id="rId18" w:history="1">
        <w:r w:rsidR="00225DC9" w:rsidRPr="00AD2154">
          <w:rPr>
            <w:rStyle w:val="Hyperlink"/>
          </w:rPr>
          <w:t>here</w:t>
        </w:r>
      </w:hyperlink>
      <w:r w:rsidR="00225DC9">
        <w:t>.</w:t>
      </w:r>
    </w:p>
    <w:p w14:paraId="0B5A21E6" w14:textId="77777777" w:rsidR="00EA1B62" w:rsidRDefault="00EA1B62" w:rsidP="002E63CA">
      <w:pPr>
        <w:pStyle w:val="NoSpacing"/>
      </w:pPr>
    </w:p>
    <w:p w14:paraId="2600403D" w14:textId="4FE965B1" w:rsidR="00071E1D" w:rsidRDefault="00EA1B62" w:rsidP="002E63CA">
      <w:pPr>
        <w:pStyle w:val="NoSpacing"/>
      </w:pPr>
      <w:r>
        <w:t xml:space="preserve">After NEUs </w:t>
      </w:r>
      <w:r w:rsidR="0018322E">
        <w:t xml:space="preserve">decide on a project, </w:t>
      </w:r>
      <w:r w:rsidR="009E620A">
        <w:t xml:space="preserve">they </w:t>
      </w:r>
      <w:r w:rsidR="0018322E">
        <w:t>must determine</w:t>
      </w:r>
      <w:r w:rsidR="00680108">
        <w:t xml:space="preserve"> the</w:t>
      </w:r>
      <w:r w:rsidR="00BF4FD7">
        <w:t xml:space="preserve"> best way to carry </w:t>
      </w:r>
      <w:r w:rsidR="00680108">
        <w:t>it out. This</w:t>
      </w:r>
      <w:r w:rsidR="004102EF">
        <w:t xml:space="preserve"> can be done </w:t>
      </w:r>
      <w:r w:rsidR="006B6628">
        <w:t xml:space="preserve">through covering eligible </w:t>
      </w:r>
      <w:r w:rsidR="00A03B07">
        <w:t>NEU</w:t>
      </w:r>
      <w:r w:rsidR="006B6628">
        <w:t xml:space="preserve"> </w:t>
      </w:r>
      <w:r w:rsidR="00A03B07">
        <w:t>expenditures</w:t>
      </w:r>
      <w:r w:rsidR="006B6628">
        <w:t xml:space="preserve"> (such as </w:t>
      </w:r>
      <w:r w:rsidR="00A03B07">
        <w:t>NEU eligible employee payroll for eligible public health or public safety staff), or can be done</w:t>
      </w:r>
      <w:r w:rsidR="004102EF">
        <w:t xml:space="preserve"> </w:t>
      </w:r>
      <w:r w:rsidR="00680108">
        <w:t xml:space="preserve">by issuing a </w:t>
      </w:r>
      <w:r w:rsidR="00B2311C">
        <w:t xml:space="preserve">subgrant, </w:t>
      </w:r>
      <w:r w:rsidR="00680108">
        <w:t xml:space="preserve">entering into </w:t>
      </w:r>
      <w:r w:rsidR="00B2311C">
        <w:t xml:space="preserve">contract, or </w:t>
      </w:r>
      <w:r w:rsidR="00680108">
        <w:t xml:space="preserve">issuing payments </w:t>
      </w:r>
      <w:r w:rsidR="00B2311C">
        <w:t>directly to beneficiaries</w:t>
      </w:r>
      <w:r w:rsidR="00BF4FD7">
        <w:t>.</w:t>
      </w:r>
      <w:r w:rsidR="00071E1D">
        <w:t xml:space="preserve"> The responsibilities of NEUs for each of these three </w:t>
      </w:r>
      <w:r w:rsidR="001A4073">
        <w:t>ways are described in the section below.</w:t>
      </w:r>
    </w:p>
    <w:p w14:paraId="549D5F61" w14:textId="77777777" w:rsidR="001C5BE8" w:rsidRDefault="001C5BE8" w:rsidP="002E63CA">
      <w:pPr>
        <w:pStyle w:val="NoSpacing"/>
      </w:pPr>
    </w:p>
    <w:p w14:paraId="2DFC31D7" w14:textId="4F415482" w:rsidR="0020534D" w:rsidRDefault="0020534D" w:rsidP="002E63CA">
      <w:pPr>
        <w:pStyle w:val="NoSpacing"/>
      </w:pPr>
      <w:r>
        <w:t xml:space="preserve">For any of the three ways of carrying out the project, the NEU retains </w:t>
      </w:r>
      <w:r w:rsidR="00005C15">
        <w:t>responsibility for</w:t>
      </w:r>
      <w:r w:rsidR="009E620A">
        <w:t xml:space="preserve"> </w:t>
      </w:r>
      <w:r w:rsidR="009E620A" w:rsidRPr="004746DF">
        <w:t xml:space="preserve">oversight of all programmatic, financial, and administrative matters, including reporting, related to the </w:t>
      </w:r>
      <w:r w:rsidR="009E620A">
        <w:t xml:space="preserve">federal </w:t>
      </w:r>
      <w:r w:rsidR="009E620A" w:rsidRPr="004746DF">
        <w:t>grant</w:t>
      </w:r>
      <w:r w:rsidR="009E620A">
        <w:t xml:space="preserve"> (in this case, the </w:t>
      </w:r>
      <w:r w:rsidR="00D42614">
        <w:t>LFRF</w:t>
      </w:r>
      <w:r w:rsidR="009E620A">
        <w:t>)</w:t>
      </w:r>
      <w:r w:rsidR="009E620A" w:rsidRPr="004746DF">
        <w:t>.</w:t>
      </w:r>
      <w:r w:rsidR="009E620A">
        <w:t xml:space="preserve"> </w:t>
      </w:r>
      <w:r w:rsidR="00BB4BED">
        <w:t xml:space="preserve">For each of the years of the </w:t>
      </w:r>
      <w:r w:rsidR="00D42614">
        <w:t>LFRF</w:t>
      </w:r>
      <w:r w:rsidR="00BB4BED">
        <w:t xml:space="preserve">, until you have fully expended your funds and </w:t>
      </w:r>
      <w:r w:rsidR="00944371">
        <w:t xml:space="preserve">reported that to the Treasury, </w:t>
      </w:r>
      <w:r w:rsidR="002D6DB8">
        <w:t xml:space="preserve">you will need to report on how you have </w:t>
      </w:r>
      <w:r w:rsidR="0027289A">
        <w:t xml:space="preserve">used the funds, </w:t>
      </w:r>
      <w:r w:rsidR="00FD6255">
        <w:t xml:space="preserve">the progress of the </w:t>
      </w:r>
      <w:r w:rsidR="00AD7C29">
        <w:t xml:space="preserve">project, and certain performance metrics associated with the project. </w:t>
      </w:r>
      <w:r w:rsidR="00E77973">
        <w:t xml:space="preserve">You will also be subject to record retention requirements and may be subject to an audit of how you used your funds and whether you followed applicable federal, state and local laws. </w:t>
      </w:r>
    </w:p>
    <w:p w14:paraId="234CB6C5" w14:textId="47EF06E0" w:rsidR="009D1B2C" w:rsidRDefault="00BF4FD7" w:rsidP="002E63CA">
      <w:pPr>
        <w:pStyle w:val="NoSpacing"/>
      </w:pPr>
      <w:r>
        <w:t xml:space="preserve"> </w:t>
      </w:r>
    </w:p>
    <w:p w14:paraId="5D2081EA" w14:textId="3C9EE9F8" w:rsidR="002E63CA" w:rsidRPr="003669A3" w:rsidRDefault="00D312BD" w:rsidP="00B441F6">
      <w:pPr>
        <w:pStyle w:val="Heading2"/>
      </w:pPr>
      <w:bookmarkStart w:id="19" w:name="_Toc85442002"/>
      <w:bookmarkStart w:id="20" w:name="_Toc85131143"/>
      <w:r>
        <w:lastRenderedPageBreak/>
        <w:t xml:space="preserve">If NEUs choose to </w:t>
      </w:r>
      <w:r w:rsidR="00F06D5E">
        <w:t xml:space="preserve">provide a </w:t>
      </w:r>
      <w:r w:rsidR="00F06D5E" w:rsidRPr="0048289F">
        <w:rPr>
          <w:b/>
          <w:bCs/>
        </w:rPr>
        <w:t>subgrant</w:t>
      </w:r>
      <w:r w:rsidR="00F06D5E">
        <w:t xml:space="preserve"> to a</w:t>
      </w:r>
      <w:r w:rsidR="00034D56">
        <w:t xml:space="preserve"> subrecipient, NEUs </w:t>
      </w:r>
      <w:r w:rsidR="00473936">
        <w:t>must:</w:t>
      </w:r>
      <w:bookmarkEnd w:id="19"/>
      <w:r w:rsidR="00753247">
        <w:t xml:space="preserve"> </w:t>
      </w:r>
      <w:bookmarkEnd w:id="20"/>
    </w:p>
    <w:p w14:paraId="6B3E0BC6" w14:textId="77777777" w:rsidR="002E63CA" w:rsidRDefault="002E63CA" w:rsidP="00B441F6">
      <w:pPr>
        <w:pStyle w:val="NoSpacing"/>
        <w:keepNext/>
        <w:keepLines/>
        <w:rPr>
          <w:u w:val="single"/>
        </w:rPr>
      </w:pPr>
    </w:p>
    <w:p w14:paraId="15CE3FA9" w14:textId="77777777" w:rsidR="00EC5DB6" w:rsidRDefault="00EC5DB6" w:rsidP="00B441F6">
      <w:pPr>
        <w:pStyle w:val="Heading3"/>
      </w:pPr>
      <w:bookmarkStart w:id="21" w:name="_Toc85131144"/>
      <w:bookmarkStart w:id="22" w:name="_Toc85442003"/>
      <w:r w:rsidRPr="00D063FB">
        <w:t>Evaluate</w:t>
      </w:r>
      <w:r>
        <w:t xml:space="preserve"> the subrecipient:</w:t>
      </w:r>
      <w:bookmarkEnd w:id="21"/>
      <w:bookmarkEnd w:id="22"/>
      <w:r>
        <w:t xml:space="preserve"> </w:t>
      </w:r>
    </w:p>
    <w:p w14:paraId="246CE1EE" w14:textId="1D4A12EC" w:rsidR="00EC5DB6" w:rsidRDefault="00EC5DB6" w:rsidP="00B441F6">
      <w:pPr>
        <w:pStyle w:val="NoSpacing"/>
        <w:keepNext/>
        <w:keepLines/>
      </w:pPr>
      <w:r>
        <w:t>P</w:t>
      </w:r>
      <w:r w:rsidRPr="00D063FB">
        <w:t xml:space="preserve">rime recipients are responsible for </w:t>
      </w:r>
      <w:r>
        <w:t>“vetting” the subrecipient. They should do their due diligence to be confident that the subrecipient is capable of carrying out the project as required</w:t>
      </w:r>
      <w:r w:rsidR="001E5EEE">
        <w:rPr>
          <w:rStyle w:val="FootnoteReference"/>
        </w:rPr>
        <w:footnoteReference w:id="6"/>
      </w:r>
      <w:r>
        <w:t xml:space="preserve">. </w:t>
      </w:r>
    </w:p>
    <w:p w14:paraId="41D68899" w14:textId="456419F7" w:rsidR="00F4712A" w:rsidRDefault="00D64036" w:rsidP="00B441F6">
      <w:pPr>
        <w:pStyle w:val="Heading3"/>
      </w:pPr>
      <w:bookmarkStart w:id="23" w:name="_Toc85131145"/>
      <w:bookmarkStart w:id="24" w:name="_Toc85442004"/>
      <w:r>
        <w:t>Create</w:t>
      </w:r>
      <w:r w:rsidR="00C80BE6">
        <w:t xml:space="preserve"> a Subgrant Award </w:t>
      </w:r>
      <w:r w:rsidR="00EC5DB6">
        <w:t>Agreement</w:t>
      </w:r>
      <w:r w:rsidR="002E63CA">
        <w:t>:</w:t>
      </w:r>
      <w:bookmarkEnd w:id="23"/>
      <w:bookmarkEnd w:id="24"/>
      <w:r w:rsidR="002E63CA" w:rsidRPr="00EB5C55">
        <w:t xml:space="preserve"> </w:t>
      </w:r>
    </w:p>
    <w:p w14:paraId="7DD67808" w14:textId="4669C531" w:rsidR="0027191E" w:rsidRDefault="00D64036" w:rsidP="00B441F6">
      <w:pPr>
        <w:pStyle w:val="NoSpacing"/>
        <w:keepNext/>
        <w:keepLines/>
        <w:numPr>
          <w:ilvl w:val="0"/>
          <w:numId w:val="36"/>
        </w:numPr>
      </w:pPr>
      <w:r w:rsidRPr="0048289F">
        <w:rPr>
          <w:i/>
          <w:iCs/>
        </w:rPr>
        <w:t>A</w:t>
      </w:r>
      <w:r w:rsidR="007F496A" w:rsidRPr="0048289F">
        <w:rPr>
          <w:i/>
          <w:iCs/>
        </w:rPr>
        <w:t>mount and purpose of the grant</w:t>
      </w:r>
      <w:r w:rsidR="007F496A">
        <w:t xml:space="preserve">. </w:t>
      </w:r>
      <w:r w:rsidR="00F874FC">
        <w:t xml:space="preserve">Subgrant </w:t>
      </w:r>
      <w:r w:rsidR="007F496A">
        <w:t xml:space="preserve">agreements </w:t>
      </w:r>
      <w:r w:rsidR="00F874FC">
        <w:t xml:space="preserve">should </w:t>
      </w:r>
      <w:r w:rsidR="007F496A">
        <w:t>specifically</w:t>
      </w:r>
      <w:r w:rsidR="00F874FC">
        <w:t xml:space="preserve"> note</w:t>
      </w:r>
      <w:r w:rsidR="007F496A">
        <w:t xml:space="preserve"> how much </w:t>
      </w:r>
      <w:r w:rsidR="00F874FC">
        <w:t xml:space="preserve">is committed and </w:t>
      </w:r>
      <w:r w:rsidR="007F496A">
        <w:t>to what purpose</w:t>
      </w:r>
      <w:r w:rsidR="00F874FC">
        <w:t xml:space="preserve">. </w:t>
      </w:r>
      <w:r w:rsidR="007F496A">
        <w:t>Include the program’s name</w:t>
      </w:r>
      <w:r w:rsidR="00797896">
        <w:t xml:space="preserve"> as you will provide it to Treasury</w:t>
      </w:r>
      <w:r w:rsidR="007F496A">
        <w:t>.</w:t>
      </w:r>
    </w:p>
    <w:p w14:paraId="49874E7C" w14:textId="14C547F5" w:rsidR="009C3FA6" w:rsidRDefault="009C3FA6" w:rsidP="00B441F6">
      <w:pPr>
        <w:pStyle w:val="NoSpacing"/>
        <w:keepNext/>
        <w:keepLines/>
        <w:numPr>
          <w:ilvl w:val="0"/>
          <w:numId w:val="36"/>
        </w:numPr>
      </w:pPr>
      <w:r w:rsidRPr="0048289F">
        <w:rPr>
          <w:i/>
          <w:iCs/>
        </w:rPr>
        <w:t>Notice of source of funds</w:t>
      </w:r>
      <w:r>
        <w:t>. P</w:t>
      </w:r>
      <w:r w:rsidRPr="00D063FB">
        <w:t xml:space="preserve">rime recipients </w:t>
      </w:r>
      <w:r>
        <w:t xml:space="preserve">must let subrecipients know that they are receiving federal grant funding and must communicate all applicable grant rules and regulations to </w:t>
      </w:r>
      <w:r w:rsidRPr="00D063FB">
        <w:t>subrecipients.</w:t>
      </w:r>
      <w:r w:rsidRPr="003669A3">
        <w:t xml:space="preserve"> </w:t>
      </w:r>
    </w:p>
    <w:p w14:paraId="44A9AC4F" w14:textId="33A84522" w:rsidR="00FD6166" w:rsidRDefault="00D64036" w:rsidP="007F496A">
      <w:pPr>
        <w:pStyle w:val="NoSpacing"/>
        <w:numPr>
          <w:ilvl w:val="0"/>
          <w:numId w:val="36"/>
        </w:numPr>
      </w:pPr>
      <w:r w:rsidRPr="0048289F">
        <w:rPr>
          <w:i/>
          <w:iCs/>
        </w:rPr>
        <w:t>S</w:t>
      </w:r>
      <w:r w:rsidR="0027191E" w:rsidRPr="0048289F">
        <w:rPr>
          <w:i/>
          <w:iCs/>
        </w:rPr>
        <w:t>ubg</w:t>
      </w:r>
      <w:r w:rsidR="007F496A" w:rsidRPr="0048289F">
        <w:rPr>
          <w:i/>
          <w:iCs/>
        </w:rPr>
        <w:t>rant period and payment schedule</w:t>
      </w:r>
      <w:r w:rsidR="007F496A">
        <w:t>. For larger or more complex grants, the</w:t>
      </w:r>
      <w:r w:rsidR="0027191E">
        <w:t xml:space="preserve"> NEU may decide to pay the grant in installments, or on a</w:t>
      </w:r>
      <w:r w:rsidR="00FD6166">
        <w:t xml:space="preserve"> reimbursement basis. </w:t>
      </w:r>
      <w:r w:rsidR="007F496A">
        <w:t>If this is the case, the grant agreement explains when and under what conditions future payments will be made.</w:t>
      </w:r>
    </w:p>
    <w:p w14:paraId="6C91FEA7" w14:textId="77777777" w:rsidR="00646B63" w:rsidRDefault="009116BA" w:rsidP="002E63CA">
      <w:pPr>
        <w:pStyle w:val="NoSpacing"/>
        <w:numPr>
          <w:ilvl w:val="0"/>
          <w:numId w:val="36"/>
        </w:numPr>
      </w:pPr>
      <w:r w:rsidRPr="0048289F">
        <w:rPr>
          <w:i/>
          <w:iCs/>
        </w:rPr>
        <w:t xml:space="preserve">Allowance for </w:t>
      </w:r>
      <w:r w:rsidR="007F496A" w:rsidRPr="0048289F">
        <w:rPr>
          <w:i/>
          <w:iCs/>
        </w:rPr>
        <w:t>changes</w:t>
      </w:r>
      <w:r w:rsidR="007F496A">
        <w:t xml:space="preserve">. </w:t>
      </w:r>
      <w:r w:rsidR="00FD6166">
        <w:t xml:space="preserve">Things can change, and your </w:t>
      </w:r>
      <w:r w:rsidR="007F496A">
        <w:t xml:space="preserve">grant agreements </w:t>
      </w:r>
      <w:r w:rsidR="00FD6166">
        <w:t xml:space="preserve">should include </w:t>
      </w:r>
      <w:r w:rsidR="00171F75">
        <w:t xml:space="preserve">language </w:t>
      </w:r>
      <w:r w:rsidR="00987E03">
        <w:t xml:space="preserve">to account for that. </w:t>
      </w:r>
      <w:r w:rsidR="00397541">
        <w:t xml:space="preserve">You may need to add certain data to reporting requirements, </w:t>
      </w:r>
      <w:r w:rsidR="00C16111">
        <w:t xml:space="preserve">or change some of the </w:t>
      </w:r>
      <w:r w:rsidR="00DD518C">
        <w:t xml:space="preserve">parameters of the grant based on new Treasury guidance. </w:t>
      </w:r>
    </w:p>
    <w:p w14:paraId="20F5E801" w14:textId="7BB82CE8" w:rsidR="00A44712" w:rsidRDefault="00A44712" w:rsidP="002E63CA">
      <w:pPr>
        <w:pStyle w:val="NoSpacing"/>
        <w:numPr>
          <w:ilvl w:val="0"/>
          <w:numId w:val="36"/>
        </w:numPr>
      </w:pPr>
      <w:r w:rsidRPr="0048289F">
        <w:rPr>
          <w:i/>
          <w:iCs/>
        </w:rPr>
        <w:t>Requirements for internal controls</w:t>
      </w:r>
      <w:r>
        <w:t xml:space="preserve">. </w:t>
      </w:r>
      <w:r w:rsidR="000C03D6">
        <w:t xml:space="preserve">Subrecipients </w:t>
      </w:r>
      <w:r w:rsidR="00E43A17">
        <w:t>must</w:t>
      </w:r>
      <w:r w:rsidR="000C03D6">
        <w:t xml:space="preserve"> create</w:t>
      </w:r>
      <w:r w:rsidR="00E3617D">
        <w:t xml:space="preserve"> internal controls to mitigate risks and </w:t>
      </w:r>
      <w:r w:rsidR="0025688A">
        <w:t>prevent fraud/waste/abuse. These include</w:t>
      </w:r>
      <w:r w:rsidR="00811F9F">
        <w:t xml:space="preserve">, for example, </w:t>
      </w:r>
      <w:r w:rsidR="0025688A">
        <w:t xml:space="preserve">written policies and procedures, </w:t>
      </w:r>
      <w:r w:rsidR="00C34D90">
        <w:t xml:space="preserve">ongoing validation of </w:t>
      </w:r>
      <w:r w:rsidR="006138E8">
        <w:t>compliance with policies</w:t>
      </w:r>
      <w:r w:rsidR="00811F9F">
        <w:t>.</w:t>
      </w:r>
    </w:p>
    <w:p w14:paraId="41849516" w14:textId="3AF93D9D" w:rsidR="00766CEA" w:rsidRDefault="00766CEA" w:rsidP="002E63CA">
      <w:pPr>
        <w:pStyle w:val="NoSpacing"/>
        <w:numPr>
          <w:ilvl w:val="0"/>
          <w:numId w:val="36"/>
        </w:numPr>
      </w:pPr>
      <w:r w:rsidRPr="0048289F">
        <w:rPr>
          <w:i/>
          <w:iCs/>
        </w:rPr>
        <w:t>Performance goals</w:t>
      </w:r>
      <w:r>
        <w:t xml:space="preserve">. NEUs should set </w:t>
      </w:r>
      <w:r w:rsidR="004276CC">
        <w:t xml:space="preserve">and monitor </w:t>
      </w:r>
      <w:r w:rsidRPr="00766CEA">
        <w:t>performance goals, indicators, targets, and baseline data</w:t>
      </w:r>
      <w:r w:rsidR="00E939B8">
        <w:t xml:space="preserve"> </w:t>
      </w:r>
      <w:r w:rsidR="00DB2D76">
        <w:t xml:space="preserve">to determine if subrecipients are </w:t>
      </w:r>
      <w:r w:rsidR="009C33B2">
        <w:t>meeting performance expectations.</w:t>
      </w:r>
    </w:p>
    <w:p w14:paraId="4656AA3C" w14:textId="588C2113" w:rsidR="002E63CA" w:rsidRPr="003669A3" w:rsidRDefault="006056F5" w:rsidP="0048289F">
      <w:pPr>
        <w:pStyle w:val="NoSpacing"/>
        <w:numPr>
          <w:ilvl w:val="0"/>
          <w:numId w:val="36"/>
        </w:numPr>
      </w:pPr>
      <w:r w:rsidRPr="0048289F">
        <w:rPr>
          <w:i/>
          <w:iCs/>
        </w:rPr>
        <w:t>Access to records, sites, and financial statements</w:t>
      </w:r>
      <w:r>
        <w:t xml:space="preserve">. </w:t>
      </w:r>
      <w:r w:rsidR="006164A9">
        <w:t xml:space="preserve">The </w:t>
      </w:r>
      <w:r w:rsidR="002E63CA">
        <w:t xml:space="preserve">prime recipient </w:t>
      </w:r>
      <w:r w:rsidR="006164A9">
        <w:t xml:space="preserve">must have </w:t>
      </w:r>
      <w:r w:rsidR="002E63CA">
        <w:t>access to the</w:t>
      </w:r>
      <w:r w:rsidR="00F4712A">
        <w:t xml:space="preserve"> </w:t>
      </w:r>
      <w:r w:rsidR="002E63CA">
        <w:t xml:space="preserve">subrecipient’s records and financial statements, as necessary, </w:t>
      </w:r>
      <w:r w:rsidR="001171A3">
        <w:t>to</w:t>
      </w:r>
      <w:r w:rsidR="002E63CA">
        <w:t xml:space="preserve"> ensure compliance with the grant guidance.</w:t>
      </w:r>
      <w:r w:rsidR="00F4712A">
        <w:t xml:space="preserve"> </w:t>
      </w:r>
    </w:p>
    <w:p w14:paraId="697A3458" w14:textId="6EA72626" w:rsidR="00CC1392" w:rsidRDefault="00CC1392" w:rsidP="002E63CA">
      <w:pPr>
        <w:pStyle w:val="NoSpacing"/>
      </w:pPr>
    </w:p>
    <w:p w14:paraId="1D6F7A64" w14:textId="6681B885" w:rsidR="00CC1392" w:rsidRPr="003669A3" w:rsidRDefault="00CC1392" w:rsidP="002E63CA">
      <w:pPr>
        <w:pStyle w:val="NoSpacing"/>
      </w:pPr>
      <w:r>
        <w:t xml:space="preserve">Note that a </w:t>
      </w:r>
      <w:r w:rsidR="00EA5AF1">
        <w:t>prime recipient</w:t>
      </w:r>
      <w:r>
        <w:t xml:space="preserve"> must not require a subrecipient to establish an accrual accounting system and must allow the subrecipient to develop accrual data for its reports on the basis of an analysis of the documentation on hand.</w:t>
      </w:r>
    </w:p>
    <w:p w14:paraId="7BD2F84E" w14:textId="6DAAB050" w:rsidR="00A25CC7" w:rsidRDefault="00A25CC7" w:rsidP="002E63CA">
      <w:pPr>
        <w:pStyle w:val="NoSpacing"/>
      </w:pPr>
    </w:p>
    <w:p w14:paraId="4D1A22F9" w14:textId="62B73B54" w:rsidR="00A25CC7" w:rsidRDefault="00A25CC7" w:rsidP="0048289F">
      <w:pPr>
        <w:pStyle w:val="Heading3"/>
      </w:pPr>
      <w:bookmarkStart w:id="25" w:name="_Toc85131146"/>
      <w:bookmarkStart w:id="26" w:name="_Toc85442005"/>
      <w:r w:rsidRPr="00D063FB">
        <w:t>Monitor</w:t>
      </w:r>
      <w:r w:rsidR="008F1372">
        <w:t xml:space="preserve"> the subrecipient</w:t>
      </w:r>
      <w:r>
        <w:t>:</w:t>
      </w:r>
      <w:bookmarkEnd w:id="25"/>
      <w:bookmarkEnd w:id="26"/>
    </w:p>
    <w:p w14:paraId="394CEDC1" w14:textId="5F91EF57" w:rsidR="002E63CA" w:rsidRPr="00D063FB" w:rsidRDefault="006F3360" w:rsidP="002E63CA">
      <w:pPr>
        <w:pStyle w:val="NoSpacing"/>
      </w:pPr>
      <w:r>
        <w:t xml:space="preserve">Prime recipients must </w:t>
      </w:r>
      <w:r w:rsidR="002E63CA" w:rsidRPr="00D063FB">
        <w:t>monitor subrecipients</w:t>
      </w:r>
      <w:r>
        <w:t xml:space="preserve">, to </w:t>
      </w:r>
      <w:r w:rsidR="00FB023E">
        <w:t>ensure that they are following the requirements of the subgrant</w:t>
      </w:r>
      <w:r w:rsidR="00EC5DB6">
        <w:t xml:space="preserve"> agreement</w:t>
      </w:r>
      <w:r w:rsidR="00FB023E">
        <w:t xml:space="preserve">. </w:t>
      </w:r>
      <w:r w:rsidR="002E63CA">
        <w:t xml:space="preserve">This may include reviewing financial records, </w:t>
      </w:r>
      <w:r w:rsidR="009C3FA6">
        <w:t>ensuring that written policies are followed</w:t>
      </w:r>
      <w:r w:rsidR="002E63CA">
        <w:t>, and performing site visits.</w:t>
      </w:r>
    </w:p>
    <w:p w14:paraId="5749CAB8" w14:textId="77777777" w:rsidR="002E63CA" w:rsidRPr="003669A3" w:rsidRDefault="002E63CA" w:rsidP="002E63CA">
      <w:pPr>
        <w:pStyle w:val="NoSpacing"/>
        <w:rPr>
          <w:u w:val="single"/>
        </w:rPr>
      </w:pPr>
    </w:p>
    <w:p w14:paraId="3A0E6176" w14:textId="77777777" w:rsidR="00D12836" w:rsidRDefault="002E63CA" w:rsidP="0048289F">
      <w:pPr>
        <w:pStyle w:val="Heading3"/>
      </w:pPr>
      <w:bookmarkStart w:id="27" w:name="_Toc85131147"/>
      <w:bookmarkStart w:id="28" w:name="_Toc85442006"/>
      <w:r w:rsidRPr="003C47BF">
        <w:t>Intervene</w:t>
      </w:r>
      <w:r>
        <w:t>, If Necessary</w:t>
      </w:r>
      <w:r w:rsidRPr="003C47BF">
        <w:t>:</w:t>
      </w:r>
      <w:bookmarkEnd w:id="27"/>
      <w:bookmarkEnd w:id="28"/>
      <w:r>
        <w:t xml:space="preserve"> </w:t>
      </w:r>
    </w:p>
    <w:p w14:paraId="44F2EB3B" w14:textId="6047B598" w:rsidR="002E63CA" w:rsidRDefault="002E63CA" w:rsidP="002E63CA">
      <w:pPr>
        <w:pStyle w:val="NoSpacing"/>
      </w:pPr>
      <w:r w:rsidRPr="003669A3">
        <w:t xml:space="preserve">If a subrecipient does not comply with the rules, or if a prime recipient suspects fraud, waste or abuse is happening with grant funding, then </w:t>
      </w:r>
      <w:r w:rsidRPr="003C47BF">
        <w:t>the prime recipient must intervene, adjust their records to remove any unallowable costs, and consider certain enforcement actions.</w:t>
      </w:r>
    </w:p>
    <w:p w14:paraId="11B52CE6" w14:textId="6E883F3B" w:rsidR="007524B9" w:rsidRDefault="007524B9" w:rsidP="002E63CA">
      <w:pPr>
        <w:pStyle w:val="NoSpacing"/>
      </w:pPr>
    </w:p>
    <w:p w14:paraId="6A270E81" w14:textId="6658097F" w:rsidR="009D1B2C" w:rsidRDefault="008F1372" w:rsidP="00B441F6">
      <w:pPr>
        <w:pStyle w:val="Heading2"/>
      </w:pPr>
      <w:bookmarkStart w:id="29" w:name="_Toc85131148"/>
      <w:bookmarkStart w:id="30" w:name="_Toc85442007"/>
      <w:r>
        <w:lastRenderedPageBreak/>
        <w:t xml:space="preserve">If NEUs </w:t>
      </w:r>
      <w:r w:rsidR="00C32B4B">
        <w:t xml:space="preserve">choose to enter into </w:t>
      </w:r>
      <w:r w:rsidR="00F16135" w:rsidRPr="0048289F">
        <w:rPr>
          <w:b/>
          <w:bCs/>
        </w:rPr>
        <w:t>contracts,</w:t>
      </w:r>
      <w:r w:rsidR="00F16135">
        <w:t xml:space="preserve"> </w:t>
      </w:r>
      <w:r w:rsidR="008B3E43">
        <w:t>NEUs must</w:t>
      </w:r>
      <w:r w:rsidR="009D1B2C">
        <w:t>:</w:t>
      </w:r>
      <w:bookmarkEnd w:id="29"/>
      <w:bookmarkEnd w:id="30"/>
    </w:p>
    <w:p w14:paraId="6A5A2EC6" w14:textId="77777777" w:rsidR="00267A89" w:rsidRDefault="00267A89" w:rsidP="00B441F6">
      <w:pPr>
        <w:pStyle w:val="NoSpacing"/>
        <w:keepNext/>
        <w:keepLines/>
      </w:pPr>
    </w:p>
    <w:p w14:paraId="46778260" w14:textId="488CB755" w:rsidR="008B3E43" w:rsidRDefault="007766C3" w:rsidP="00B441F6">
      <w:pPr>
        <w:pStyle w:val="Heading3"/>
      </w:pPr>
      <w:bookmarkStart w:id="31" w:name="_Toc85131149"/>
      <w:bookmarkStart w:id="32" w:name="_Toc85442008"/>
      <w:r w:rsidRPr="002E7E4A">
        <w:t xml:space="preserve">Follow all </w:t>
      </w:r>
      <w:r w:rsidR="00267BA5" w:rsidRPr="002E7E4A">
        <w:t xml:space="preserve">federal </w:t>
      </w:r>
      <w:r w:rsidR="00020D12">
        <w:t xml:space="preserve">and local </w:t>
      </w:r>
      <w:r w:rsidR="00267BA5" w:rsidRPr="002E7E4A">
        <w:t>procurement rules</w:t>
      </w:r>
      <w:r w:rsidR="00930622">
        <w:t>:</w:t>
      </w:r>
      <w:bookmarkEnd w:id="31"/>
      <w:bookmarkEnd w:id="32"/>
      <w:r w:rsidR="004B4E39">
        <w:t xml:space="preserve"> </w:t>
      </w:r>
    </w:p>
    <w:p w14:paraId="40D2157C" w14:textId="63061AFE" w:rsidR="005B08B4" w:rsidRPr="003753E3" w:rsidRDefault="005B08B4" w:rsidP="00B441F6">
      <w:pPr>
        <w:pStyle w:val="NoSpacing"/>
        <w:keepNext/>
        <w:keepLines/>
      </w:pPr>
      <w:r>
        <w:t xml:space="preserve">NEUs </w:t>
      </w:r>
      <w:r w:rsidRPr="003753E3">
        <w:t xml:space="preserve">should have documented procurement procedures in place and should follow those procurement procedures when spending </w:t>
      </w:r>
      <w:r w:rsidR="00D42614">
        <w:t>LFRF</w:t>
      </w:r>
      <w:r w:rsidRPr="003753E3">
        <w:t xml:space="preserve"> fund</w:t>
      </w:r>
      <w:r>
        <w:t>s</w:t>
      </w:r>
      <w:r w:rsidRPr="003753E3">
        <w:t xml:space="preserve">. The procedures should conform to </w:t>
      </w:r>
      <w:r w:rsidR="00C83B45">
        <w:t>f</w:t>
      </w:r>
      <w:r w:rsidRPr="003753E3">
        <w:t xml:space="preserve">ederal, state, local and tribal laws, and </w:t>
      </w:r>
      <w:r w:rsidRPr="00C20D1A">
        <w:t>regulations.</w:t>
      </w:r>
      <w:r w:rsidR="00020D12" w:rsidRPr="00C20D1A">
        <w:t xml:space="preserve"> If your local procurement rules are </w:t>
      </w:r>
      <w:r w:rsidR="00731E92" w:rsidRPr="00C20D1A">
        <w:t>stricter</w:t>
      </w:r>
      <w:r w:rsidR="00020D12" w:rsidRPr="00C20D1A">
        <w:t xml:space="preserve"> than the federal rules outlined below, you must follow those </w:t>
      </w:r>
      <w:r w:rsidR="00633687" w:rsidRPr="00C20D1A">
        <w:t>stricter</w:t>
      </w:r>
      <w:r w:rsidR="00020D12" w:rsidRPr="00C20D1A">
        <w:t xml:space="preserve"> local rules.</w:t>
      </w:r>
      <w:r w:rsidR="0002501E" w:rsidRPr="00C20D1A">
        <w:t xml:space="preserve"> For</w:t>
      </w:r>
      <w:r w:rsidR="0002501E">
        <w:t xml:space="preserve"> all </w:t>
      </w:r>
      <w:r w:rsidR="00F5618B">
        <w:t xml:space="preserve">contract </w:t>
      </w:r>
      <w:r w:rsidR="0002501E">
        <w:t xml:space="preserve">procurements, </w:t>
      </w:r>
      <w:r w:rsidR="00633687">
        <w:t xml:space="preserve">NEUs </w:t>
      </w:r>
      <w:r w:rsidR="00D327AE">
        <w:t>must</w:t>
      </w:r>
      <w:r w:rsidR="0002501E">
        <w:t xml:space="preserve"> follow esta</w:t>
      </w:r>
      <w:r w:rsidR="001902FC">
        <w:t xml:space="preserve">blished </w:t>
      </w:r>
      <w:r w:rsidR="006B3BFD">
        <w:t>conflict of interest standards</w:t>
      </w:r>
      <w:r w:rsidR="00D327AE">
        <w:t xml:space="preserve"> to </w:t>
      </w:r>
      <w:r w:rsidR="000E6F72">
        <w:t>forestall personal financial</w:t>
      </w:r>
      <w:r w:rsidR="00A74E51">
        <w:t xml:space="preserve"> or other</w:t>
      </w:r>
      <w:r w:rsidR="000E6F72">
        <w:t xml:space="preserve"> interest</w:t>
      </w:r>
      <w:r w:rsidR="00A74E51">
        <w:t>s</w:t>
      </w:r>
      <w:r w:rsidR="00646B40">
        <w:t xml:space="preserve"> that might exert undue influence on a</w:t>
      </w:r>
      <w:r w:rsidR="00041AA4">
        <w:t>n employee, officer, or agent participat</w:t>
      </w:r>
      <w:r w:rsidR="0063545C">
        <w:t xml:space="preserve">ing in the award or administration of a contract. </w:t>
      </w:r>
    </w:p>
    <w:p w14:paraId="78DBE25E" w14:textId="77777777" w:rsidR="00271035" w:rsidRDefault="00271035" w:rsidP="004F5F30">
      <w:pPr>
        <w:pStyle w:val="NoSpacing"/>
        <w:ind w:left="720"/>
        <w:rPr>
          <w:i/>
          <w:iCs/>
        </w:rPr>
      </w:pPr>
    </w:p>
    <w:p w14:paraId="3B95788B" w14:textId="341065D0" w:rsidR="005412BF" w:rsidRDefault="005412BF" w:rsidP="0048289F">
      <w:pPr>
        <w:pStyle w:val="Heading4"/>
      </w:pPr>
      <w:r>
        <w:t>Micro-purchas</w:t>
      </w:r>
      <w:r w:rsidR="00FA52F8">
        <w:t>es (</w:t>
      </w:r>
      <w:r w:rsidR="0015468F">
        <w:t xml:space="preserve">purchases </w:t>
      </w:r>
      <w:r w:rsidR="00FA52F8">
        <w:t>under $</w:t>
      </w:r>
      <w:r w:rsidR="00A75673">
        <w:t>10</w:t>
      </w:r>
      <w:r w:rsidR="00FA52F8">
        <w:t>,</w:t>
      </w:r>
      <w:r w:rsidR="00A75673">
        <w:t>0</w:t>
      </w:r>
      <w:r w:rsidR="00FA52F8">
        <w:t>00)</w:t>
      </w:r>
    </w:p>
    <w:p w14:paraId="1E6C1485" w14:textId="1EC7E294" w:rsidR="00D509ED" w:rsidRDefault="00D509ED" w:rsidP="0048289F">
      <w:pPr>
        <w:pStyle w:val="NoSpacing"/>
        <w:numPr>
          <w:ilvl w:val="0"/>
          <w:numId w:val="35"/>
        </w:numPr>
        <w:rPr>
          <w:i/>
          <w:iCs/>
        </w:rPr>
      </w:pPr>
      <w:r>
        <w:t>If the purchase is below the micro-purchase threshold ($</w:t>
      </w:r>
      <w:r w:rsidR="00A75673">
        <w:t>10</w:t>
      </w:r>
      <w:r>
        <w:t>,</w:t>
      </w:r>
      <w:r w:rsidR="00A75673">
        <w:t>0</w:t>
      </w:r>
      <w:r>
        <w:t>00)</w:t>
      </w:r>
      <w:r w:rsidR="00107136">
        <w:t xml:space="preserve">, NEUs do not need to </w:t>
      </w:r>
      <w:r w:rsidR="001A54C8">
        <w:t>procure it through competitive bidding and may simply make the purchase.</w:t>
      </w:r>
    </w:p>
    <w:p w14:paraId="23FC5D55" w14:textId="77777777" w:rsidR="0015468F" w:rsidRDefault="0015468F" w:rsidP="005E60AD">
      <w:pPr>
        <w:pStyle w:val="NoSpacing"/>
        <w:ind w:left="720"/>
        <w:rPr>
          <w:i/>
          <w:iCs/>
        </w:rPr>
      </w:pPr>
    </w:p>
    <w:p w14:paraId="3D263C26" w14:textId="5F6222DE" w:rsidR="002B5412" w:rsidRDefault="00F07B5D" w:rsidP="0048289F">
      <w:pPr>
        <w:pStyle w:val="Heading4"/>
      </w:pPr>
      <w:r w:rsidRPr="002E7E4A">
        <w:t>Small P</w:t>
      </w:r>
      <w:r w:rsidR="00A26A0D" w:rsidRPr="002E7E4A">
        <w:t>ur</w:t>
      </w:r>
      <w:r w:rsidR="0027713B">
        <w:t>chase</w:t>
      </w:r>
      <w:r w:rsidR="00A26A0D" w:rsidRPr="002E7E4A">
        <w:t xml:space="preserve"> Method</w:t>
      </w:r>
      <w:r w:rsidR="00FA52F8">
        <w:t xml:space="preserve"> (</w:t>
      </w:r>
      <w:r w:rsidR="0015468F">
        <w:t xml:space="preserve">purchases </w:t>
      </w:r>
      <w:r w:rsidR="00FA52F8">
        <w:t>under $250,000)</w:t>
      </w:r>
    </w:p>
    <w:p w14:paraId="5301AFAC" w14:textId="77777777" w:rsidR="0027713B" w:rsidRPr="0048289F" w:rsidRDefault="0027713B" w:rsidP="0048289F">
      <w:pPr>
        <w:pStyle w:val="NoSpacing"/>
        <w:numPr>
          <w:ilvl w:val="0"/>
          <w:numId w:val="35"/>
        </w:numPr>
        <w:rPr>
          <w:i/>
          <w:iCs/>
        </w:rPr>
      </w:pPr>
      <w:r>
        <w:t xml:space="preserve">Under the simplified acquisition threshold ($250,000) </w:t>
      </w:r>
    </w:p>
    <w:p w14:paraId="16011E21" w14:textId="01C7346E" w:rsidR="00F42985" w:rsidRPr="0048289F" w:rsidRDefault="00F42985" w:rsidP="0048289F">
      <w:pPr>
        <w:pStyle w:val="NoSpacing"/>
        <w:numPr>
          <w:ilvl w:val="0"/>
          <w:numId w:val="35"/>
        </w:numPr>
        <w:rPr>
          <w:i/>
          <w:iCs/>
        </w:rPr>
      </w:pPr>
      <w:r>
        <w:t>Gather p</w:t>
      </w:r>
      <w:r w:rsidR="0027713B">
        <w:t xml:space="preserve">rice or rate quotes from an adequate number of sources </w:t>
      </w:r>
      <w:r>
        <w:t>(minimum of 2)</w:t>
      </w:r>
    </w:p>
    <w:p w14:paraId="6730F5BC" w14:textId="53F32151" w:rsidR="005E60AD" w:rsidRPr="0048289F" w:rsidRDefault="00F42985" w:rsidP="0048289F">
      <w:pPr>
        <w:pStyle w:val="NoSpacing"/>
        <w:numPr>
          <w:ilvl w:val="0"/>
          <w:numId w:val="35"/>
        </w:numPr>
        <w:rPr>
          <w:i/>
          <w:iCs/>
        </w:rPr>
      </w:pPr>
      <w:r>
        <w:t>D</w:t>
      </w:r>
      <w:r w:rsidR="0027713B">
        <w:t>istribute</w:t>
      </w:r>
      <w:r>
        <w:t xml:space="preserve"> the solicitation</w:t>
      </w:r>
      <w:r w:rsidR="0027713B">
        <w:t xml:space="preserve"> among a range of qualified vendors</w:t>
      </w:r>
    </w:p>
    <w:p w14:paraId="700F22BE" w14:textId="77777777" w:rsidR="004C6A50" w:rsidRDefault="004C6A50" w:rsidP="00C41DD3">
      <w:pPr>
        <w:pStyle w:val="NoSpacing"/>
      </w:pPr>
    </w:p>
    <w:p w14:paraId="26DBCC9C" w14:textId="4F4EB685" w:rsidR="004C6A50" w:rsidRDefault="0015468F" w:rsidP="0048289F">
      <w:pPr>
        <w:pStyle w:val="Heading4"/>
      </w:pPr>
      <w:r>
        <w:t>Competitive Procurements (all purchases over $250,000)</w:t>
      </w:r>
    </w:p>
    <w:p w14:paraId="3B8A87FF" w14:textId="5441B7AA" w:rsidR="000515D5" w:rsidRPr="0048289F" w:rsidRDefault="000515D5" w:rsidP="000515D5">
      <w:pPr>
        <w:pStyle w:val="NoSpacing"/>
        <w:rPr>
          <w:rFonts w:cstheme="minorHAnsi"/>
        </w:rPr>
      </w:pPr>
      <w:r w:rsidRPr="0048289F">
        <w:rPr>
          <w:rFonts w:cstheme="minorHAnsi"/>
        </w:rPr>
        <w:t>Formal procurement methods require following documented procedures. The following formal methods of procurement are used for procurement of property or services</w:t>
      </w:r>
      <w:r w:rsidR="00137699">
        <w:rPr>
          <w:rFonts w:cstheme="minorHAnsi"/>
        </w:rPr>
        <w:t>, usually through a process known as a “Request for Proposals” or RFP</w:t>
      </w:r>
      <w:r w:rsidR="008F4304">
        <w:rPr>
          <w:rFonts w:cstheme="minorHAnsi"/>
        </w:rPr>
        <w:t xml:space="preserve">. </w:t>
      </w:r>
      <w:r w:rsidRPr="0048289F">
        <w:rPr>
          <w:rFonts w:cstheme="minorHAnsi"/>
        </w:rPr>
        <w:t xml:space="preserve"> </w:t>
      </w:r>
    </w:p>
    <w:p w14:paraId="4C9023A4" w14:textId="77777777" w:rsidR="000515D5" w:rsidRPr="000515D5" w:rsidRDefault="000515D5" w:rsidP="000515D5">
      <w:pPr>
        <w:pStyle w:val="NoSpacing"/>
        <w:rPr>
          <w:rFonts w:cstheme="minorHAnsi"/>
          <w:i/>
          <w:iCs/>
        </w:rPr>
      </w:pPr>
    </w:p>
    <w:p w14:paraId="50B43AE5" w14:textId="1F2D9BDA" w:rsidR="000515D5" w:rsidRPr="0048289F" w:rsidRDefault="1518D82D" w:rsidP="44416C5B">
      <w:pPr>
        <w:pStyle w:val="NoSpacing"/>
      </w:pPr>
      <w:r w:rsidRPr="0048289F">
        <w:t xml:space="preserve">(1) </w:t>
      </w:r>
      <w:r w:rsidR="000515D5" w:rsidRPr="0048289F">
        <w:t xml:space="preserve">Sealed bids.  A procurement method in which bids are publicly solicited and a firm fixed-price contract (lump sum or unit price) is awarded to the responsible bidder whose bid, conforming with all the material terms and conditions of the invitation for bids, is the lowest in price. The sealed bids method is the preferred method for procuring construction. </w:t>
      </w:r>
    </w:p>
    <w:p w14:paraId="2D4447BF" w14:textId="77777777" w:rsidR="000515D5" w:rsidRPr="0048289F" w:rsidRDefault="000515D5" w:rsidP="000515D5">
      <w:pPr>
        <w:pStyle w:val="NoSpacing"/>
        <w:rPr>
          <w:rFonts w:cstheme="minorHAnsi"/>
        </w:rPr>
      </w:pPr>
    </w:p>
    <w:p w14:paraId="2F813B16" w14:textId="3B972167" w:rsidR="000515D5" w:rsidRPr="0048289F" w:rsidRDefault="000515D5" w:rsidP="0048289F">
      <w:pPr>
        <w:pStyle w:val="NoSpacing"/>
        <w:numPr>
          <w:ilvl w:val="0"/>
          <w:numId w:val="62"/>
        </w:numPr>
        <w:rPr>
          <w:rFonts w:eastAsiaTheme="minorEastAsia"/>
        </w:rPr>
      </w:pPr>
      <w:r w:rsidRPr="0048289F">
        <w:t xml:space="preserve">In order for sealed bidding to be feasible, the following conditions should be present: </w:t>
      </w:r>
    </w:p>
    <w:p w14:paraId="0BC48686" w14:textId="77777777" w:rsidR="000515D5" w:rsidRPr="0048289F" w:rsidRDefault="000515D5" w:rsidP="000515D5">
      <w:pPr>
        <w:pStyle w:val="NoSpacing"/>
        <w:rPr>
          <w:rFonts w:cstheme="minorHAnsi"/>
        </w:rPr>
      </w:pPr>
    </w:p>
    <w:p w14:paraId="0D6979C1" w14:textId="2FE94788" w:rsidR="000515D5" w:rsidRPr="0048289F" w:rsidRDefault="000515D5" w:rsidP="0048289F">
      <w:pPr>
        <w:pStyle w:val="NoSpacing"/>
        <w:numPr>
          <w:ilvl w:val="1"/>
          <w:numId w:val="62"/>
        </w:numPr>
        <w:rPr>
          <w:rFonts w:eastAsiaTheme="minorEastAsia"/>
        </w:rPr>
      </w:pPr>
      <w:r w:rsidRPr="0048289F">
        <w:t xml:space="preserve">A complete, adequate, and realistic specification or purchase description is available; </w:t>
      </w:r>
    </w:p>
    <w:p w14:paraId="2270A7FF" w14:textId="77777777" w:rsidR="000515D5" w:rsidRPr="0048289F" w:rsidRDefault="000515D5" w:rsidP="0048289F">
      <w:pPr>
        <w:pStyle w:val="NoSpacing"/>
        <w:ind w:left="720"/>
      </w:pPr>
    </w:p>
    <w:p w14:paraId="56E9B508" w14:textId="236A0174" w:rsidR="000515D5" w:rsidRPr="0048289F" w:rsidRDefault="000515D5" w:rsidP="0048289F">
      <w:pPr>
        <w:pStyle w:val="NoSpacing"/>
        <w:numPr>
          <w:ilvl w:val="1"/>
          <w:numId w:val="62"/>
        </w:numPr>
        <w:rPr>
          <w:rFonts w:eastAsiaTheme="minorEastAsia"/>
        </w:rPr>
      </w:pPr>
      <w:r w:rsidRPr="0048289F">
        <w:t xml:space="preserve">Two or more responsible bidders are willing and able to compete effectively for the business; and </w:t>
      </w:r>
    </w:p>
    <w:p w14:paraId="5ED2D41D" w14:textId="77777777" w:rsidR="000515D5" w:rsidRPr="0048289F" w:rsidRDefault="000515D5" w:rsidP="0048289F">
      <w:pPr>
        <w:pStyle w:val="NoSpacing"/>
        <w:ind w:left="720"/>
      </w:pPr>
    </w:p>
    <w:p w14:paraId="59203F11" w14:textId="34C678D6" w:rsidR="000515D5" w:rsidRPr="0048289F" w:rsidRDefault="000515D5" w:rsidP="0048289F">
      <w:pPr>
        <w:pStyle w:val="NoSpacing"/>
        <w:numPr>
          <w:ilvl w:val="1"/>
          <w:numId w:val="62"/>
        </w:numPr>
        <w:rPr>
          <w:rFonts w:eastAsiaTheme="minorEastAsia"/>
        </w:rPr>
      </w:pPr>
      <w:r w:rsidRPr="0048289F">
        <w:t xml:space="preserve">The procurement lends itself to a firm fixed price contract and the selection of the successful bidder can be made principally on the basis of price. </w:t>
      </w:r>
    </w:p>
    <w:p w14:paraId="4520438C" w14:textId="77777777" w:rsidR="000515D5" w:rsidRPr="0048289F" w:rsidRDefault="000515D5" w:rsidP="0048289F">
      <w:pPr>
        <w:pStyle w:val="NoSpacing"/>
        <w:ind w:left="720"/>
      </w:pPr>
    </w:p>
    <w:p w14:paraId="01CC1992" w14:textId="3D167E56" w:rsidR="000515D5" w:rsidRPr="0048289F" w:rsidRDefault="000515D5" w:rsidP="0048289F">
      <w:pPr>
        <w:pStyle w:val="NoSpacing"/>
        <w:numPr>
          <w:ilvl w:val="0"/>
          <w:numId w:val="62"/>
        </w:numPr>
        <w:rPr>
          <w:rFonts w:eastAsiaTheme="minorEastAsia"/>
        </w:rPr>
      </w:pPr>
      <w:r w:rsidRPr="0048289F">
        <w:t xml:space="preserve">If sealed bids are used, the following requirements apply: </w:t>
      </w:r>
    </w:p>
    <w:p w14:paraId="0DFDA300" w14:textId="77777777" w:rsidR="000515D5" w:rsidRPr="0048289F" w:rsidRDefault="000515D5" w:rsidP="000515D5">
      <w:pPr>
        <w:pStyle w:val="NoSpacing"/>
        <w:rPr>
          <w:rFonts w:cstheme="minorHAnsi"/>
        </w:rPr>
      </w:pPr>
    </w:p>
    <w:p w14:paraId="5662E9E1" w14:textId="22F985DB" w:rsidR="000515D5" w:rsidRPr="0048289F" w:rsidRDefault="000515D5" w:rsidP="0048289F">
      <w:pPr>
        <w:pStyle w:val="NoSpacing"/>
        <w:numPr>
          <w:ilvl w:val="1"/>
          <w:numId w:val="62"/>
        </w:numPr>
        <w:rPr>
          <w:rFonts w:eastAsiaTheme="minorEastAsia"/>
        </w:rPr>
      </w:pPr>
      <w:r w:rsidRPr="0048289F">
        <w:t xml:space="preserve">Bids must be solicited from an adequate number of qualified sources, providing them sufficient response time prior to the date set for opening the bids, for local, and tribal governments, the invitation for bids must be publicly advertised; </w:t>
      </w:r>
    </w:p>
    <w:p w14:paraId="2BB33408" w14:textId="77777777" w:rsidR="000515D5" w:rsidRPr="0048289F" w:rsidRDefault="000515D5" w:rsidP="0048289F">
      <w:pPr>
        <w:pStyle w:val="NoSpacing"/>
        <w:ind w:left="720"/>
      </w:pPr>
    </w:p>
    <w:p w14:paraId="14DFE1D6" w14:textId="5990E984" w:rsidR="000515D5" w:rsidRPr="0048289F" w:rsidRDefault="000515D5" w:rsidP="0048289F">
      <w:pPr>
        <w:pStyle w:val="NoSpacing"/>
        <w:numPr>
          <w:ilvl w:val="1"/>
          <w:numId w:val="62"/>
        </w:numPr>
        <w:rPr>
          <w:rFonts w:eastAsiaTheme="minorEastAsia"/>
        </w:rPr>
      </w:pPr>
      <w:r w:rsidRPr="0048289F">
        <w:lastRenderedPageBreak/>
        <w:t xml:space="preserve">The invitation for bids, which will include any specifications and pertinent attachments, must define the items or services in order for the bidder to properly respond; </w:t>
      </w:r>
    </w:p>
    <w:p w14:paraId="6BE79ACB" w14:textId="77777777" w:rsidR="000515D5" w:rsidRPr="0048289F" w:rsidRDefault="000515D5" w:rsidP="0048289F">
      <w:pPr>
        <w:pStyle w:val="NoSpacing"/>
        <w:ind w:left="720"/>
      </w:pPr>
    </w:p>
    <w:p w14:paraId="2F2A4599" w14:textId="275B4752" w:rsidR="000515D5" w:rsidRPr="0048289F" w:rsidRDefault="000515D5" w:rsidP="0048289F">
      <w:pPr>
        <w:pStyle w:val="NoSpacing"/>
        <w:numPr>
          <w:ilvl w:val="1"/>
          <w:numId w:val="62"/>
        </w:numPr>
        <w:rPr>
          <w:rFonts w:eastAsiaTheme="minorEastAsia"/>
        </w:rPr>
      </w:pPr>
      <w:r w:rsidRPr="0048289F">
        <w:t xml:space="preserve">All bids will be opened at the time and place prescribed in the invitation for bids, and for local and tribal governments, the bids must be opened publicly; </w:t>
      </w:r>
    </w:p>
    <w:p w14:paraId="03BCCF22" w14:textId="77777777" w:rsidR="000515D5" w:rsidRPr="0048289F" w:rsidRDefault="000515D5" w:rsidP="0048289F">
      <w:pPr>
        <w:pStyle w:val="NoSpacing"/>
        <w:ind w:left="720"/>
      </w:pPr>
    </w:p>
    <w:p w14:paraId="7D6308F0" w14:textId="73CBCA83" w:rsidR="000515D5" w:rsidRPr="0048289F" w:rsidRDefault="000515D5" w:rsidP="0048289F">
      <w:pPr>
        <w:pStyle w:val="NoSpacing"/>
        <w:numPr>
          <w:ilvl w:val="1"/>
          <w:numId w:val="62"/>
        </w:numPr>
        <w:rPr>
          <w:rFonts w:eastAsiaTheme="minorEastAsia"/>
        </w:rPr>
      </w:pPr>
      <w:r w:rsidRPr="0048289F">
        <w:t xml:space="preserve">A firm fixed price contract award will be made in writing to the lowest responsive and responsible bidder. 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 and </w:t>
      </w:r>
    </w:p>
    <w:p w14:paraId="5B5AEB3A" w14:textId="77777777" w:rsidR="000515D5" w:rsidRPr="0048289F" w:rsidRDefault="000515D5" w:rsidP="0048289F">
      <w:pPr>
        <w:pStyle w:val="NoSpacing"/>
        <w:ind w:left="720"/>
      </w:pPr>
    </w:p>
    <w:p w14:paraId="49FEFCA4" w14:textId="6C24E67E" w:rsidR="000515D5" w:rsidRPr="0048289F" w:rsidRDefault="000515D5" w:rsidP="0048289F">
      <w:pPr>
        <w:pStyle w:val="NoSpacing"/>
        <w:numPr>
          <w:ilvl w:val="1"/>
          <w:numId w:val="62"/>
        </w:numPr>
        <w:rPr>
          <w:rFonts w:eastAsiaTheme="minorEastAsia"/>
        </w:rPr>
      </w:pPr>
      <w:r w:rsidRPr="0048289F">
        <w:t xml:space="preserve">Any or all bids may be rejected if there is a sound documented reason. </w:t>
      </w:r>
    </w:p>
    <w:p w14:paraId="562F00FC" w14:textId="77777777" w:rsidR="000515D5" w:rsidRPr="0048289F" w:rsidRDefault="000515D5" w:rsidP="000515D5">
      <w:pPr>
        <w:pStyle w:val="NoSpacing"/>
        <w:rPr>
          <w:rFonts w:cstheme="minorHAnsi"/>
        </w:rPr>
      </w:pPr>
    </w:p>
    <w:p w14:paraId="6445A27B" w14:textId="77777777" w:rsidR="000515D5" w:rsidRPr="0048289F" w:rsidRDefault="000515D5" w:rsidP="000515D5">
      <w:pPr>
        <w:pStyle w:val="NoSpacing"/>
        <w:rPr>
          <w:rFonts w:cstheme="minorHAnsi"/>
        </w:rPr>
      </w:pPr>
      <w:r w:rsidRPr="0048289F">
        <w:rPr>
          <w:rFonts w:cstheme="minorHAnsi"/>
        </w:rPr>
        <w:t xml:space="preserve">(2) Proposals.  A procurement method in which either a fixed price or cost-reimbursement type contract is awarded. Proposals are generally used when conditions are not appropriate for the use of sealed bids. They are awarded in accordance with the following requirements: </w:t>
      </w:r>
    </w:p>
    <w:p w14:paraId="5E7727D7" w14:textId="77777777" w:rsidR="000515D5" w:rsidRPr="0048289F" w:rsidRDefault="000515D5" w:rsidP="000515D5">
      <w:pPr>
        <w:pStyle w:val="NoSpacing"/>
        <w:rPr>
          <w:rFonts w:cstheme="minorHAnsi"/>
        </w:rPr>
      </w:pPr>
    </w:p>
    <w:p w14:paraId="1C40572C" w14:textId="5EAB66FC" w:rsidR="000515D5" w:rsidRPr="0048289F" w:rsidRDefault="000515D5" w:rsidP="0048289F">
      <w:pPr>
        <w:pStyle w:val="NoSpacing"/>
        <w:numPr>
          <w:ilvl w:val="0"/>
          <w:numId w:val="60"/>
        </w:numPr>
        <w:rPr>
          <w:rFonts w:eastAsiaTheme="minorEastAsia"/>
        </w:rPr>
      </w:pPr>
      <w:r w:rsidRPr="0048289F">
        <w:t xml:space="preserve">Requests for proposals must be publicized and identify all evaluation factors and their relative importance. Proposals must be solicited from an adequate number of qualified offerors. Any response to publicized requests for proposals must be considered to the maximum extent practical; </w:t>
      </w:r>
    </w:p>
    <w:p w14:paraId="6B5CF452" w14:textId="77777777" w:rsidR="000515D5" w:rsidRPr="0048289F" w:rsidRDefault="000515D5" w:rsidP="000515D5">
      <w:pPr>
        <w:pStyle w:val="NoSpacing"/>
        <w:rPr>
          <w:rFonts w:cstheme="minorHAnsi"/>
        </w:rPr>
      </w:pPr>
    </w:p>
    <w:p w14:paraId="6815D69D" w14:textId="709AAB15" w:rsidR="000515D5" w:rsidRPr="0048289F" w:rsidRDefault="000515D5" w:rsidP="0048289F">
      <w:pPr>
        <w:pStyle w:val="NoSpacing"/>
        <w:numPr>
          <w:ilvl w:val="0"/>
          <w:numId w:val="60"/>
        </w:numPr>
        <w:rPr>
          <w:rFonts w:eastAsiaTheme="minorEastAsia"/>
        </w:rPr>
      </w:pPr>
      <w:r w:rsidRPr="0048289F">
        <w:t xml:space="preserve">The non-Federal entity must have a written method for conducting technical evaluations of the proposals received and making selections; </w:t>
      </w:r>
    </w:p>
    <w:p w14:paraId="28D7235F" w14:textId="77777777" w:rsidR="000515D5" w:rsidRPr="0048289F" w:rsidRDefault="000515D5" w:rsidP="000515D5">
      <w:pPr>
        <w:pStyle w:val="NoSpacing"/>
        <w:rPr>
          <w:rFonts w:cstheme="minorHAnsi"/>
        </w:rPr>
      </w:pPr>
    </w:p>
    <w:p w14:paraId="6074C149" w14:textId="78A24727" w:rsidR="000515D5" w:rsidRPr="0048289F" w:rsidRDefault="000515D5" w:rsidP="0048289F">
      <w:pPr>
        <w:pStyle w:val="NoSpacing"/>
        <w:numPr>
          <w:ilvl w:val="0"/>
          <w:numId w:val="60"/>
        </w:numPr>
        <w:rPr>
          <w:rFonts w:eastAsiaTheme="minorEastAsia"/>
        </w:rPr>
      </w:pPr>
      <w:r w:rsidRPr="0048289F">
        <w:t xml:space="preserve">Contracts must be awarded to the responsible offeror whose proposal is most advantageous to the non-Federal entity, with price and other factors considered; and </w:t>
      </w:r>
    </w:p>
    <w:p w14:paraId="7A27FC2F" w14:textId="77777777" w:rsidR="000515D5" w:rsidRPr="0048289F" w:rsidRDefault="000515D5" w:rsidP="000515D5">
      <w:pPr>
        <w:pStyle w:val="NoSpacing"/>
        <w:rPr>
          <w:rFonts w:cstheme="minorHAnsi"/>
        </w:rPr>
      </w:pPr>
    </w:p>
    <w:p w14:paraId="6B02A224" w14:textId="5D3A59B5" w:rsidR="000515D5" w:rsidRPr="0048289F" w:rsidRDefault="000515D5" w:rsidP="0048289F">
      <w:pPr>
        <w:pStyle w:val="NoSpacing"/>
        <w:numPr>
          <w:ilvl w:val="0"/>
          <w:numId w:val="60"/>
        </w:numPr>
        <w:rPr>
          <w:rFonts w:eastAsiaTheme="minorEastAsia"/>
        </w:rPr>
      </w:pPr>
      <w:r w:rsidRPr="0048289F">
        <w:t>The non-Federal entity may use competitive proposal procedures for qualifications-based procurement of architectural/engineering (A/E) professional services whereby offeror's qualifications are evaluated and the most qualified offeror is selected, subject to negotiation of fair and reasonable compensation. The method, where price is not used as a selection factor, can only be used in procurement of A/E professional services. It cannot be used to purchase other types of services</w:t>
      </w:r>
      <w:r w:rsidR="00AC6946">
        <w:t>, even if those services are offered</w:t>
      </w:r>
      <w:r w:rsidRPr="0048289F">
        <w:t xml:space="preserve"> th</w:t>
      </w:r>
      <w:r w:rsidR="00C714A3">
        <w:t>r</w:t>
      </w:r>
      <w:r w:rsidRPr="0048289F">
        <w:t>ough A/E firms</w:t>
      </w:r>
      <w:r w:rsidR="00AC6946">
        <w:t xml:space="preserve"> but constit</w:t>
      </w:r>
      <w:r w:rsidR="00BC61BC">
        <w:t>ute</w:t>
      </w:r>
      <w:r w:rsidR="00AC6946">
        <w:t xml:space="preserve"> a different scope of work.</w:t>
      </w:r>
      <w:r w:rsidRPr="0048289F">
        <w:t xml:space="preserve"> </w:t>
      </w:r>
    </w:p>
    <w:p w14:paraId="0D0246BA" w14:textId="77777777" w:rsidR="00C41DD3" w:rsidRDefault="00C41DD3" w:rsidP="0048289F">
      <w:pPr>
        <w:pStyle w:val="NoSpacing"/>
      </w:pPr>
    </w:p>
    <w:p w14:paraId="04894A7F" w14:textId="38856B8A" w:rsidR="008C65C5" w:rsidRPr="008C20C7" w:rsidRDefault="008C65C5" w:rsidP="0048289F">
      <w:pPr>
        <w:pStyle w:val="Heading4"/>
      </w:pPr>
      <w:r w:rsidRPr="008C20C7">
        <w:t>Non-Competitive Procurements</w:t>
      </w:r>
    </w:p>
    <w:p w14:paraId="21FBA302" w14:textId="74A47192" w:rsidR="008C65C5" w:rsidRPr="003753E3" w:rsidRDefault="008C65C5" w:rsidP="0048289F">
      <w:pPr>
        <w:pStyle w:val="NoSpacing"/>
      </w:pPr>
      <w:r w:rsidRPr="003753E3">
        <w:t xml:space="preserve">When procuring property or services, the </w:t>
      </w:r>
      <w:r>
        <w:t>NEU or subrecipient must provide</w:t>
      </w:r>
      <w:r w:rsidRPr="003753E3">
        <w:t xml:space="preserve"> full and open competition.</w:t>
      </w:r>
      <w:r>
        <w:t xml:space="preserve"> </w:t>
      </w:r>
      <w:r w:rsidRPr="003753E3">
        <w:t xml:space="preserve">Non-competitive procurements are only allowed in circumstances where at least one of the conditions below is true: </w:t>
      </w:r>
    </w:p>
    <w:p w14:paraId="4DA95865" w14:textId="717B65B2" w:rsidR="008C65C5" w:rsidRPr="003753E3" w:rsidRDefault="008C65C5" w:rsidP="0048289F">
      <w:pPr>
        <w:pStyle w:val="NoSpacing"/>
        <w:numPr>
          <w:ilvl w:val="0"/>
          <w:numId w:val="37"/>
        </w:numPr>
      </w:pPr>
      <w:r w:rsidRPr="003753E3">
        <w:t>The item is below the micro-purchase threshold</w:t>
      </w:r>
      <w:r>
        <w:t xml:space="preserve"> ($</w:t>
      </w:r>
      <w:r w:rsidR="00CD627B">
        <w:t>10,000</w:t>
      </w:r>
      <w:r>
        <w:t>)</w:t>
      </w:r>
      <w:r w:rsidRPr="003753E3">
        <w:t xml:space="preserve">; </w:t>
      </w:r>
    </w:p>
    <w:p w14:paraId="74B0FE45" w14:textId="77777777" w:rsidR="008C65C5" w:rsidRPr="003753E3" w:rsidRDefault="008C65C5" w:rsidP="0048289F">
      <w:pPr>
        <w:pStyle w:val="NoSpacing"/>
        <w:numPr>
          <w:ilvl w:val="0"/>
          <w:numId w:val="37"/>
        </w:numPr>
      </w:pPr>
      <w:r w:rsidRPr="003753E3">
        <w:t>The item is only available from a single source;</w:t>
      </w:r>
    </w:p>
    <w:p w14:paraId="45178644" w14:textId="77777777" w:rsidR="008C65C5" w:rsidRDefault="008C65C5" w:rsidP="0048289F">
      <w:pPr>
        <w:pStyle w:val="NoSpacing"/>
        <w:numPr>
          <w:ilvl w:val="0"/>
          <w:numId w:val="37"/>
        </w:numPr>
      </w:pPr>
      <w:r w:rsidRPr="003753E3">
        <w:t xml:space="preserve">The public exigency or emergency will not permit a delay from publicizing a competitive solicitation; </w:t>
      </w:r>
    </w:p>
    <w:p w14:paraId="3286B971" w14:textId="77777777" w:rsidR="008C65C5" w:rsidRDefault="008C65C5" w:rsidP="0048289F">
      <w:pPr>
        <w:pStyle w:val="NoSpacing"/>
        <w:numPr>
          <w:ilvl w:val="0"/>
          <w:numId w:val="37"/>
        </w:numPr>
      </w:pPr>
      <w:r>
        <w:t>The Federal awarding agency (US Treasury) expressly authorizes a noncompetitive procurement in response to a written request from the non-Federal entity; or</w:t>
      </w:r>
    </w:p>
    <w:p w14:paraId="7584FC9D" w14:textId="77777777" w:rsidR="008C65C5" w:rsidRDefault="008C65C5" w:rsidP="0048289F">
      <w:pPr>
        <w:pStyle w:val="NoSpacing"/>
        <w:numPr>
          <w:ilvl w:val="0"/>
          <w:numId w:val="37"/>
        </w:numPr>
      </w:pPr>
      <w:r w:rsidRPr="003753E3">
        <w:lastRenderedPageBreak/>
        <w:t>If after soliciting a number of sources, competition is determined inadequate.</w:t>
      </w:r>
    </w:p>
    <w:p w14:paraId="09DC07B4" w14:textId="77777777" w:rsidR="008C65C5" w:rsidRDefault="008C65C5" w:rsidP="008C65C5">
      <w:pPr>
        <w:pStyle w:val="NoSpacing"/>
      </w:pPr>
    </w:p>
    <w:p w14:paraId="414342F6" w14:textId="1D8CA3CD" w:rsidR="008C65C5" w:rsidRPr="00CC1C33" w:rsidRDefault="008C65C5" w:rsidP="008C65C5">
      <w:pPr>
        <w:pStyle w:val="NoSpacing"/>
        <w:rPr>
          <w:rFonts w:cstheme="minorHAnsi"/>
        </w:rPr>
      </w:pPr>
      <w:r w:rsidRPr="00CC1C33">
        <w:rPr>
          <w:rFonts w:cstheme="minorHAnsi"/>
        </w:rPr>
        <w:t xml:space="preserve">For more information on this section, see </w:t>
      </w:r>
      <w:hyperlink r:id="rId19" w:history="1">
        <w:r w:rsidRPr="002D7214">
          <w:rPr>
            <w:rStyle w:val="Hyperlink"/>
            <w:rFonts w:cstheme="minorHAnsi"/>
          </w:rPr>
          <w:t>2 CFR 200.318</w:t>
        </w:r>
        <w:r w:rsidR="00DB5676">
          <w:rPr>
            <w:rStyle w:val="Hyperlink"/>
            <w:rFonts w:cstheme="minorHAnsi"/>
          </w:rPr>
          <w:t>-</w:t>
        </w:r>
        <w:r w:rsidR="00025535">
          <w:rPr>
            <w:rStyle w:val="Hyperlink"/>
            <w:rFonts w:cstheme="minorHAnsi"/>
          </w:rPr>
          <w:t>320</w:t>
        </w:r>
      </w:hyperlink>
      <w:r w:rsidRPr="00F07C1B">
        <w:rPr>
          <w:rFonts w:cstheme="minorHAnsi"/>
        </w:rPr>
        <w:t xml:space="preserve"> </w:t>
      </w:r>
    </w:p>
    <w:p w14:paraId="2256EC47" w14:textId="77777777" w:rsidR="004F5F30" w:rsidRDefault="004F5F30" w:rsidP="004F5F30">
      <w:pPr>
        <w:pStyle w:val="NoSpacing"/>
      </w:pPr>
    </w:p>
    <w:p w14:paraId="226F734A" w14:textId="494DFBD3" w:rsidR="004F5F30" w:rsidRDefault="00632B94" w:rsidP="0048289F">
      <w:pPr>
        <w:pStyle w:val="Heading3"/>
      </w:pPr>
      <w:bookmarkStart w:id="33" w:name="_Toc85131150"/>
      <w:bookmarkStart w:id="34" w:name="_Toc85442009"/>
      <w:r>
        <w:t>Create a Federally Compliant Contract (Appendix II to 2CFR 200)</w:t>
      </w:r>
      <w:bookmarkEnd w:id="33"/>
      <w:bookmarkEnd w:id="34"/>
    </w:p>
    <w:p w14:paraId="67087837" w14:textId="77777777" w:rsidR="00BB4EDA" w:rsidRDefault="00BB4EDA" w:rsidP="004D3266"/>
    <w:p w14:paraId="079A309E" w14:textId="3F2BF705" w:rsidR="00BA538A" w:rsidRDefault="004D3266" w:rsidP="0048289F">
      <w:pPr>
        <w:pStyle w:val="NoSpacing"/>
      </w:pPr>
      <w:r>
        <w:t xml:space="preserve">Appendix II of 2 CFR </w:t>
      </w:r>
      <w:r w:rsidR="00F41135">
        <w:t xml:space="preserve">200 </w:t>
      </w:r>
      <w:r w:rsidR="00187A58">
        <w:t>outlines</w:t>
      </w:r>
      <w:r w:rsidR="00DD62F3">
        <w:t xml:space="preserve"> the </w:t>
      </w:r>
      <w:r w:rsidR="00187A58">
        <w:t>c</w:t>
      </w:r>
      <w:r w:rsidR="00DD62F3">
        <w:t xml:space="preserve">ontract </w:t>
      </w:r>
      <w:r w:rsidR="00187A58">
        <w:t>p</w:t>
      </w:r>
      <w:r w:rsidR="00DD62F3">
        <w:t xml:space="preserve">rovisions for </w:t>
      </w:r>
      <w:r w:rsidR="00B46D16">
        <w:t>n</w:t>
      </w:r>
      <w:r w:rsidR="00DD62F3">
        <w:t xml:space="preserve">on-Federal </w:t>
      </w:r>
      <w:r w:rsidR="00187A58">
        <w:t>e</w:t>
      </w:r>
      <w:r w:rsidR="00DD62F3">
        <w:t xml:space="preserve">ntity </w:t>
      </w:r>
      <w:r w:rsidR="00187A58">
        <w:t>c</w:t>
      </w:r>
      <w:r w:rsidR="00DD62F3">
        <w:t xml:space="preserve">ontracts </w:t>
      </w:r>
      <w:r w:rsidR="00187A58">
        <w:t>u</w:t>
      </w:r>
      <w:r w:rsidR="00DD62F3">
        <w:t xml:space="preserve">nder Federal </w:t>
      </w:r>
      <w:r w:rsidR="00187A58">
        <w:t>a</w:t>
      </w:r>
      <w:r w:rsidR="00DD62F3">
        <w:t>wards</w:t>
      </w:r>
      <w:r w:rsidR="00187A58">
        <w:t xml:space="preserve"> to be utilized </w:t>
      </w:r>
      <w:r w:rsidR="00872B9E">
        <w:t xml:space="preserve">where relevant. </w:t>
      </w:r>
      <w:r w:rsidR="006E2D84">
        <w:t>Contractors are expected to perform duties according to the terms and conditions of their contract or purchase order. Conduct standards should be established such that there are no conflicts of interest in administering contract agreements. Prime recipients will provide oversight of this process.</w:t>
      </w:r>
      <w:r w:rsidR="00586DC4">
        <w:t xml:space="preserve"> </w:t>
      </w:r>
      <w:r w:rsidR="00742233">
        <w:t xml:space="preserve">Creating a </w:t>
      </w:r>
      <w:r w:rsidR="003A01FC">
        <w:t xml:space="preserve">contract that complies with </w:t>
      </w:r>
      <w:r w:rsidR="005272B5">
        <w:t xml:space="preserve">federal </w:t>
      </w:r>
      <w:r w:rsidR="005E6FC2">
        <w:t xml:space="preserve">contract provisions </w:t>
      </w:r>
      <w:r w:rsidR="008626C2">
        <w:t xml:space="preserve">will require including the below sections </w:t>
      </w:r>
      <w:r w:rsidR="00BA538A">
        <w:t>where applicable</w:t>
      </w:r>
      <w:r w:rsidR="008626C2">
        <w:t xml:space="preserve"> </w:t>
      </w:r>
      <w:r w:rsidR="005E6FC2">
        <w:t>(</w:t>
      </w:r>
      <w:hyperlink r:id="rId20" w:history="1">
        <w:r w:rsidR="00110857" w:rsidRPr="00CC1392">
          <w:rPr>
            <w:rStyle w:val="Hyperlink"/>
          </w:rPr>
          <w:t>Appendix II to 2 C.F.R. 200</w:t>
        </w:r>
      </w:hyperlink>
      <w:r w:rsidR="00110857">
        <w:t>)</w:t>
      </w:r>
      <w:r w:rsidR="00B40808">
        <w:t>:</w:t>
      </w:r>
      <w:r w:rsidR="00B1420D">
        <w:t xml:space="preserve"> </w:t>
      </w:r>
    </w:p>
    <w:p w14:paraId="3BB72401" w14:textId="77777777" w:rsidR="00BA538A" w:rsidRDefault="00BA538A" w:rsidP="00BA538A">
      <w:pPr>
        <w:pStyle w:val="NoSpacing"/>
      </w:pPr>
    </w:p>
    <w:p w14:paraId="031A75E7" w14:textId="57D07336" w:rsidR="00B1420D" w:rsidRDefault="00F40799" w:rsidP="00B1420D">
      <w:pPr>
        <w:pStyle w:val="NoSpacing"/>
        <w:numPr>
          <w:ilvl w:val="0"/>
          <w:numId w:val="64"/>
        </w:numPr>
      </w:pPr>
      <w:r>
        <w:t>C</w:t>
      </w:r>
      <w:r w:rsidR="00B1420D">
        <w:t>ontracts</w:t>
      </w:r>
      <w:r>
        <w:t xml:space="preserve"> must</w:t>
      </w:r>
      <w:r w:rsidR="00B1420D">
        <w:t xml:space="preserve"> include administrative, contractual, or legal remedies to contract violation or breaches.</w:t>
      </w:r>
    </w:p>
    <w:p w14:paraId="17E735FA" w14:textId="3469F726" w:rsidR="00B1420D" w:rsidRDefault="00B1420D" w:rsidP="00B1420D">
      <w:pPr>
        <w:pStyle w:val="NoSpacing"/>
        <w:numPr>
          <w:ilvl w:val="0"/>
          <w:numId w:val="64"/>
        </w:numPr>
      </w:pPr>
      <w:r>
        <w:t xml:space="preserve">Any contract that is more than $10,000 must address </w:t>
      </w:r>
      <w:r w:rsidR="00F40799">
        <w:t xml:space="preserve">the NEUs right to </w:t>
      </w:r>
      <w:r>
        <w:t>termination for cause and</w:t>
      </w:r>
      <w:r w:rsidR="00F40799">
        <w:t>/or</w:t>
      </w:r>
      <w:r>
        <w:t xml:space="preserve"> convenience. This </w:t>
      </w:r>
      <w:r w:rsidR="00F40799">
        <w:t xml:space="preserve">language </w:t>
      </w:r>
      <w:r>
        <w:t xml:space="preserve">should include </w:t>
      </w:r>
      <w:r w:rsidR="008626C2">
        <w:t xml:space="preserve">how it would go into effect as well as method for settlement should it go into effect. </w:t>
      </w:r>
    </w:p>
    <w:p w14:paraId="2C29F6E7" w14:textId="722B94F8" w:rsidR="008626C2" w:rsidRDefault="009F13D7" w:rsidP="00B1420D">
      <w:pPr>
        <w:pStyle w:val="NoSpacing"/>
        <w:numPr>
          <w:ilvl w:val="0"/>
          <w:numId w:val="64"/>
        </w:numPr>
      </w:pPr>
      <w:r>
        <w:t>Construction c</w:t>
      </w:r>
      <w:r w:rsidR="008626C2">
        <w:t xml:space="preserve">ontracts must include </w:t>
      </w:r>
      <w:r w:rsidR="00B524BE">
        <w:t>the language of the</w:t>
      </w:r>
      <w:r w:rsidR="008626C2">
        <w:t xml:space="preserve"> Equal Opportunity clause outlined in section </w:t>
      </w:r>
      <w:hyperlink r:id="rId21" w:history="1">
        <w:r w:rsidR="008626C2" w:rsidRPr="008626C2">
          <w:rPr>
            <w:rStyle w:val="Hyperlink"/>
          </w:rPr>
          <w:t>41 CFR § 60-1.4</w:t>
        </w:r>
      </w:hyperlink>
      <w:r w:rsidR="008626C2">
        <w:t xml:space="preserve"> of Uniform Guidance. </w:t>
      </w:r>
    </w:p>
    <w:p w14:paraId="79AADDB0" w14:textId="5A172C64" w:rsidR="008626C2" w:rsidRDefault="008626C2" w:rsidP="00B1420D">
      <w:pPr>
        <w:pStyle w:val="NoSpacing"/>
        <w:numPr>
          <w:ilvl w:val="0"/>
          <w:numId w:val="64"/>
        </w:numPr>
      </w:pPr>
      <w:r w:rsidRPr="008626C2">
        <w:t>When required by Federal program legislation, all prime construction contracts in excess of $2,000 awarded by non-Federal entities must include a provision for compliance with the Davis-Bacon Act</w:t>
      </w:r>
      <w:r>
        <w:t xml:space="preserve">. Note that infrastructure projects that are funded </w:t>
      </w:r>
      <w:r w:rsidRPr="0048289F">
        <w:rPr>
          <w:b/>
          <w:bCs/>
        </w:rPr>
        <w:t>solely</w:t>
      </w:r>
      <w:r>
        <w:t xml:space="preserve"> with SFLRF are not subject to including this provision. However, this clause may be of necessary note to contracts that are funded with other sources depending on the requirements of the alternative funding source. </w:t>
      </w:r>
      <w:r w:rsidR="00540345">
        <w:t xml:space="preserve">If awarding an infrastructure contract over $10M, please </w:t>
      </w:r>
      <w:r w:rsidR="00FB5B07">
        <w:t xml:space="preserve">review the detailed labor requirements that apply to such contracts in the </w:t>
      </w:r>
      <w:hyperlink r:id="rId22" w:history="1">
        <w:r w:rsidR="00FB5B07" w:rsidRPr="00AC6C40">
          <w:rPr>
            <w:rStyle w:val="Hyperlink"/>
          </w:rPr>
          <w:t>Compliance and Reporting Guidance</w:t>
        </w:r>
      </w:hyperlink>
      <w:r w:rsidR="00FB5B07">
        <w:t xml:space="preserve">. </w:t>
      </w:r>
    </w:p>
    <w:p w14:paraId="02C09141" w14:textId="2AD3F92B" w:rsidR="008626C2" w:rsidRDefault="008626C2" w:rsidP="00B1420D">
      <w:pPr>
        <w:pStyle w:val="NoSpacing"/>
        <w:numPr>
          <w:ilvl w:val="0"/>
          <w:numId w:val="64"/>
        </w:numPr>
      </w:pPr>
      <w:r>
        <w:t>All contracts that are more than $100,000</w:t>
      </w:r>
      <w:r w:rsidR="00CF480A">
        <w:t xml:space="preserve"> that involve the employment of mechanics or laborers</w:t>
      </w:r>
      <w:r w:rsidR="00094526">
        <w:t xml:space="preserve"> must include a provision for compliance with the Contact Work Hours and Safety Standards Act. </w:t>
      </w:r>
      <w:r w:rsidRPr="008626C2">
        <w:t xml:space="preserve">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w:t>
      </w:r>
    </w:p>
    <w:p w14:paraId="69FDB790" w14:textId="6DAE6D49" w:rsidR="008626C2" w:rsidRDefault="008626C2" w:rsidP="008626C2">
      <w:pPr>
        <w:pStyle w:val="NoSpacing"/>
        <w:numPr>
          <w:ilvl w:val="1"/>
          <w:numId w:val="64"/>
        </w:numPr>
      </w:pPr>
      <w:r w:rsidRPr="008626C2">
        <w:t>The requirements of 40 U.S.C. 3704 are applicable to construction work and provide that no laborer or mechanic must be required to work in surroundings or under working conditions which are unsanitary, hazardous</w:t>
      </w:r>
      <w:r w:rsidR="006D2954" w:rsidRPr="008626C2">
        <w:t>,</w:t>
      </w:r>
      <w:r w:rsidRPr="008626C2">
        <w:t xml:space="preserve"> or dangerous. These requirements do not apply to the purchases of supplies or materials or articles ordinarily available on the open market, or contracts for transportation or transmission of intelligence.</w:t>
      </w:r>
    </w:p>
    <w:p w14:paraId="08AE93A4" w14:textId="681F0998" w:rsidR="00094526" w:rsidRDefault="002908AD" w:rsidP="00094526">
      <w:pPr>
        <w:pStyle w:val="NoSpacing"/>
        <w:numPr>
          <w:ilvl w:val="0"/>
          <w:numId w:val="64"/>
        </w:numPr>
      </w:pPr>
      <w:r>
        <w:t xml:space="preserve">In the case where the federal award </w:t>
      </w:r>
      <w:r w:rsidR="00610F18">
        <w:t>constitutes a “funding agreement” where</w:t>
      </w:r>
      <w:r w:rsidR="009011CF">
        <w:t xml:space="preserve"> experimental, developmental, or</w:t>
      </w:r>
      <w:r w:rsidR="00610F18">
        <w:t xml:space="preserve"> research</w:t>
      </w:r>
      <w:r w:rsidR="009011CF">
        <w:t xml:space="preserve"> work is occurring and </w:t>
      </w:r>
      <w:r w:rsidR="002F665A">
        <w:t>the</w:t>
      </w:r>
      <w:r w:rsidR="009011CF">
        <w:t xml:space="preserve"> contractor chooses to </w:t>
      </w:r>
      <w:r w:rsidR="006D2954">
        <w:t>enter</w:t>
      </w:r>
      <w:r w:rsidR="009011CF">
        <w:t xml:space="preserve"> into an agreement with a non-profit or small business to conduct the </w:t>
      </w:r>
      <w:r>
        <w:t>contract</w:t>
      </w:r>
      <w:r w:rsidR="009E1F83">
        <w:t>, the</w:t>
      </w:r>
      <w:r w:rsidR="00E43A6A">
        <w:t xml:space="preserve"> contractor must comply with</w:t>
      </w:r>
      <w:r>
        <w:t xml:space="preserve"> </w:t>
      </w:r>
      <w:r w:rsidR="00094526" w:rsidRPr="00094526">
        <w:t>Rights to Inventions Made Under a Contract or Agreement</w:t>
      </w:r>
      <w:r w:rsidR="00586DC4">
        <w:t xml:space="preserve"> </w:t>
      </w:r>
      <w:r w:rsidR="00E43A6A">
        <w:t>(</w:t>
      </w:r>
      <w:hyperlink r:id="rId23" w:history="1">
        <w:r w:rsidR="00E43A6A" w:rsidRPr="006D2954">
          <w:rPr>
            <w:rStyle w:val="Hyperlink"/>
          </w:rPr>
          <w:t>37 CFR Part 401</w:t>
        </w:r>
      </w:hyperlink>
      <w:r w:rsidR="00E43A6A">
        <w:t>).</w:t>
      </w:r>
    </w:p>
    <w:p w14:paraId="0B03551C" w14:textId="0EF2E230" w:rsidR="00094526" w:rsidRDefault="00094526" w:rsidP="00094526">
      <w:pPr>
        <w:pStyle w:val="NoSpacing"/>
        <w:numPr>
          <w:ilvl w:val="0"/>
          <w:numId w:val="64"/>
        </w:numPr>
      </w:pPr>
      <w:r>
        <w:t>Contract</w:t>
      </w:r>
      <w:r w:rsidR="001D48A2">
        <w:t xml:space="preserve">s </w:t>
      </w:r>
      <w:r w:rsidR="00C56B4F">
        <w:t xml:space="preserve">and subgrants </w:t>
      </w:r>
      <w:r w:rsidR="001D48A2">
        <w:t>over $150,000 must</w:t>
      </w:r>
      <w:r w:rsidRPr="00094526">
        <w:t xml:space="preserve"> contain a provision that requires the non-Federal award to agree to comply with all applicable standards, orders or regulations issued </w:t>
      </w:r>
      <w:r w:rsidRPr="00094526">
        <w:lastRenderedPageBreak/>
        <w:t>pursuant to the Clean Air Act (42 U.S.C. 7401-7671q) and the Federal Water Pollution Control Act as amended (33 U.S.C. 1251-1387). Violations must be reported to the Federal awarding agency and the Regional Office of the Environmental Protection Agency (EPA).</w:t>
      </w:r>
    </w:p>
    <w:p w14:paraId="72EEF6B9" w14:textId="5ED57FDA" w:rsidR="00094526" w:rsidRDefault="00094526" w:rsidP="00094526">
      <w:pPr>
        <w:pStyle w:val="NoSpacing"/>
        <w:numPr>
          <w:ilvl w:val="0"/>
          <w:numId w:val="64"/>
        </w:numPr>
      </w:pPr>
      <w:r>
        <w:t xml:space="preserve">A contract cannot be awarded to parties that are listed on the governmentwide exclusions list in the </w:t>
      </w:r>
      <w:r w:rsidRPr="00094526">
        <w:t>System for Award Management (SAM)</w:t>
      </w:r>
      <w:r>
        <w:t>.</w:t>
      </w:r>
      <w:r w:rsidRPr="00094526">
        <w:t xml:space="preserve"> SAM Exclusions contains the names of parties debarred, suspended, or otherwise excluded by agencies, as well as parties declared ineligible under statutory or regulatory authority other than Executive Order 12549</w:t>
      </w:r>
      <w:r>
        <w:t>.</w:t>
      </w:r>
    </w:p>
    <w:p w14:paraId="3F96B4E3" w14:textId="3A056D58" w:rsidR="00094526" w:rsidRDefault="001212F5" w:rsidP="00094526">
      <w:pPr>
        <w:pStyle w:val="NoSpacing"/>
        <w:numPr>
          <w:ilvl w:val="0"/>
          <w:numId w:val="64"/>
        </w:numPr>
      </w:pPr>
      <w:r>
        <w:t>Funds</w:t>
      </w:r>
      <w:r w:rsidR="00094526">
        <w:t xml:space="preserve"> may not be used to </w:t>
      </w:r>
      <w:r>
        <w:t>influence the award of a contract</w:t>
      </w:r>
      <w:r w:rsidR="00094526">
        <w:t xml:space="preserve"> </w:t>
      </w:r>
      <w:r>
        <w:t xml:space="preserve">funded with federal appropriations. </w:t>
      </w:r>
      <w:r w:rsidR="00094526" w:rsidRPr="00094526">
        <w:t>Contractors that apply or bid for an award exceeding $100,000 must file the certification</w:t>
      </w:r>
      <w:r w:rsidR="004946B7">
        <w:t xml:space="preserve"> required by the Byrd Anti-Lobbying Amendment</w:t>
      </w:r>
      <w:r w:rsidR="00094526" w:rsidRPr="00094526">
        <w:t xml:space="preserve">. </w:t>
      </w:r>
    </w:p>
    <w:p w14:paraId="30427492" w14:textId="30A4D40D" w:rsidR="001212F5" w:rsidRDefault="001212F5" w:rsidP="00094526">
      <w:pPr>
        <w:pStyle w:val="NoSpacing"/>
        <w:numPr>
          <w:ilvl w:val="0"/>
          <w:numId w:val="64"/>
        </w:numPr>
      </w:pPr>
      <w:r>
        <w:t>Procurement of recovered materials</w:t>
      </w:r>
      <w:r w:rsidR="00AD1A56">
        <w:t xml:space="preserve"> –</w:t>
      </w:r>
      <w:r w:rsidR="000176CD">
        <w:t xml:space="preserve">NEUs and their </w:t>
      </w:r>
      <w:r w:rsidR="00AD1A56" w:rsidRPr="00AD1A56">
        <w:t xml:space="preserve">contractors must comply with section 6002 of the </w:t>
      </w:r>
      <w:hyperlink r:id="rId24" w:history="1">
        <w:r w:rsidR="00AD1A56" w:rsidRPr="00D03165">
          <w:rPr>
            <w:rStyle w:val="Hyperlink"/>
          </w:rPr>
          <w:t>Solid Waste Disposal Act</w:t>
        </w:r>
      </w:hyperlink>
      <w:r w:rsidR="00AD1A56" w:rsidRPr="00AD1A56">
        <w:t>, as amended by the Resource Conservation and Recovery Act</w:t>
      </w:r>
      <w:r w:rsidR="00CA23BB">
        <w:t>. Section 6002 requirements relate to procurement of items over $10,000</w:t>
      </w:r>
      <w:r w:rsidR="00DD2A12">
        <w:t>, and direct that NEUs and their contractors</w:t>
      </w:r>
      <w:r w:rsidR="00CA23BB">
        <w:t xml:space="preserve"> only</w:t>
      </w:r>
      <w:r w:rsidR="00991498">
        <w:t xml:space="preserve"> procure</w:t>
      </w:r>
      <w:r w:rsidR="00CA23BB">
        <w:t xml:space="preserve"> items designated in guidelines of the Environmental Protection Agency (EPA) at </w:t>
      </w:r>
      <w:hyperlink r:id="rId25" w:history="1">
        <w:r w:rsidR="00CA23BB">
          <w:rPr>
            <w:rStyle w:val="Hyperlink"/>
          </w:rPr>
          <w:t>40 CFR part 247</w:t>
        </w:r>
      </w:hyperlink>
      <w:r w:rsidR="00CA23BB">
        <w:t xml:space="preserve"> that contain the highest percentage of recovered materials practicable, consistent with maintaining a satisfactory level of competition; procuring solid waste management services in a manner that maximizes energy and resource recovery; and establishing an affirmative procurement program for procurement of recovered materials identified in the EPA guidelines.</w:t>
      </w:r>
    </w:p>
    <w:p w14:paraId="1B7442FE" w14:textId="2B2FAA3C" w:rsidR="001212F5" w:rsidRDefault="00DC7DE4" w:rsidP="00094526">
      <w:pPr>
        <w:pStyle w:val="NoSpacing"/>
        <w:numPr>
          <w:ilvl w:val="0"/>
          <w:numId w:val="64"/>
        </w:numPr>
      </w:pPr>
      <w:r w:rsidRPr="0048289F">
        <w:t xml:space="preserve">Prohibition on </w:t>
      </w:r>
      <w:r w:rsidR="002F346E">
        <w:t xml:space="preserve">purchasing </w:t>
      </w:r>
      <w:r w:rsidR="006571B1">
        <w:t xml:space="preserve">telecommunications or surveillance </w:t>
      </w:r>
      <w:r w:rsidR="00C3704A">
        <w:t xml:space="preserve">equipment, services, or systems </w:t>
      </w:r>
      <w:r>
        <w:t>produced by Huawei Technologies Company or ZTE Corporation (or any subsidiary or affiliate of such entities)</w:t>
      </w:r>
      <w:r w:rsidR="006571B1">
        <w:t>, Hytera Communications Corporation, Hangzhou Hikvision Digital Technology Company, or Dahua Technology Company (or any subsidiary or affiliate of such entities)</w:t>
      </w:r>
      <w:r w:rsidR="00F51F6C">
        <w:t>, or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7F94427F" w14:textId="1B663C7F" w:rsidR="00997968" w:rsidRDefault="001212F5" w:rsidP="004368EC">
      <w:pPr>
        <w:pStyle w:val="NoSpacing"/>
        <w:numPr>
          <w:ilvl w:val="0"/>
          <w:numId w:val="64"/>
        </w:numPr>
      </w:pPr>
      <w:r>
        <w:t xml:space="preserve">The </w:t>
      </w:r>
      <w:r w:rsidR="00015ECF">
        <w:t xml:space="preserve">NEU should, </w:t>
      </w:r>
      <w:r w:rsidR="00313B68">
        <w:t xml:space="preserve">appropriate and to the extent consistent with law, </w:t>
      </w:r>
      <w:r>
        <w:t xml:space="preserve">include a provision for </w:t>
      </w:r>
      <w:r w:rsidRPr="001212F5">
        <w:t>a preference for the purchase, acquisition, or use of goods, products, or materials produced in the United States</w:t>
      </w:r>
      <w:r>
        <w:t xml:space="preserve">. Contractors must be aware of the source of materials used which include </w:t>
      </w:r>
      <w:r w:rsidR="00A75673">
        <w:t>(</w:t>
      </w:r>
      <w:r>
        <w:t>but are not limited to</w:t>
      </w:r>
      <w:r w:rsidR="00A75673">
        <w:t>)</w:t>
      </w:r>
      <w:r>
        <w:t xml:space="preserve"> iron, steel, cement and other manufactured products. </w:t>
      </w:r>
    </w:p>
    <w:p w14:paraId="304ED2DA" w14:textId="143F44B0" w:rsidR="007264A0" w:rsidRDefault="007264A0" w:rsidP="002E63CA">
      <w:pPr>
        <w:pStyle w:val="NoSpacing"/>
      </w:pPr>
    </w:p>
    <w:p w14:paraId="65D67C9B" w14:textId="77777777" w:rsidR="008C65C5" w:rsidRDefault="008C65C5" w:rsidP="008C65C5">
      <w:pPr>
        <w:pStyle w:val="NoSpacing"/>
        <w:rPr>
          <w:i/>
          <w:iCs/>
        </w:rPr>
      </w:pPr>
      <w:r w:rsidRPr="00A26A54">
        <w:rPr>
          <w:i/>
          <w:iCs/>
          <w:color w:val="0070C0"/>
        </w:rPr>
        <w:t xml:space="preserve">Note: </w:t>
      </w:r>
      <w:r w:rsidRPr="00A26A54">
        <w:rPr>
          <w:i/>
          <w:iCs/>
        </w:rPr>
        <w:t>Once goods or services are procure</w:t>
      </w:r>
      <w:r>
        <w:rPr>
          <w:i/>
          <w:iCs/>
        </w:rPr>
        <w:t>d</w:t>
      </w:r>
      <w:r w:rsidRPr="00A26A54">
        <w:rPr>
          <w:i/>
          <w:iCs/>
        </w:rPr>
        <w:t xml:space="preserve">, </w:t>
      </w:r>
      <w:r w:rsidRPr="00201C94">
        <w:rPr>
          <w:i/>
          <w:iCs/>
        </w:rPr>
        <w:t xml:space="preserve">prime recipients and </w:t>
      </w:r>
      <w:r w:rsidRPr="00A26A54">
        <w:rPr>
          <w:i/>
          <w:iCs/>
        </w:rPr>
        <w:t>subrecipients should ensure that there is adequate oversight over contractors to ensure that contracts are executed according to the contract terms, conditions, and specifications.</w:t>
      </w:r>
    </w:p>
    <w:p w14:paraId="27CB0471" w14:textId="77777777" w:rsidR="008C65C5" w:rsidRDefault="008C65C5" w:rsidP="002E63CA">
      <w:pPr>
        <w:pStyle w:val="NoSpacing"/>
      </w:pPr>
    </w:p>
    <w:p w14:paraId="66081EE1" w14:textId="77777777" w:rsidR="005578BC" w:rsidRPr="00DF2587" w:rsidRDefault="005578BC" w:rsidP="005578BC">
      <w:pPr>
        <w:pStyle w:val="NoSpacing"/>
        <w:ind w:left="1440"/>
      </w:pPr>
    </w:p>
    <w:tbl>
      <w:tblPr>
        <w:tblStyle w:val="TableGrid"/>
        <w:tblW w:w="0" w:type="auto"/>
        <w:tblLook w:val="04A0" w:firstRow="1" w:lastRow="0" w:firstColumn="1" w:lastColumn="0" w:noHBand="0" w:noVBand="1"/>
      </w:tblPr>
      <w:tblGrid>
        <w:gridCol w:w="9350"/>
      </w:tblGrid>
      <w:tr w:rsidR="00A26A54" w14:paraId="7891D04D" w14:textId="77777777" w:rsidTr="00A26A54">
        <w:tc>
          <w:tcPr>
            <w:tcW w:w="9350" w:type="dxa"/>
          </w:tcPr>
          <w:p w14:paraId="6FA136DB" w14:textId="77777777" w:rsidR="00E85DD2" w:rsidRDefault="00E85DD2" w:rsidP="00E85DD2">
            <w:pPr>
              <w:pStyle w:val="NoSpacing"/>
              <w:jc w:val="center"/>
              <w:rPr>
                <w:color w:val="0070C0"/>
              </w:rPr>
            </w:pPr>
            <w:r>
              <w:rPr>
                <w:color w:val="0070C0"/>
              </w:rPr>
              <w:t>NOTE</w:t>
            </w:r>
          </w:p>
          <w:p w14:paraId="6421493A" w14:textId="7A5E18E0" w:rsidR="00A26A54" w:rsidRPr="00A26A54" w:rsidRDefault="00185239" w:rsidP="00E85DD2">
            <w:pPr>
              <w:pStyle w:val="NoSpacing"/>
            </w:pPr>
            <w:r>
              <w:t>All s</w:t>
            </w:r>
            <w:r w:rsidR="00A26A54" w:rsidRPr="00A26A54">
              <w:t>ubrecipients</w:t>
            </w:r>
            <w:r w:rsidR="00F44DC3">
              <w:t xml:space="preserve"> and </w:t>
            </w:r>
            <w:r>
              <w:t>c</w:t>
            </w:r>
            <w:r w:rsidR="00F44DC3">
              <w:t>ontract</w:t>
            </w:r>
            <w:r>
              <w:t xml:space="preserve">ors over $50,000 </w:t>
            </w:r>
            <w:r w:rsidR="00A26A54" w:rsidRPr="00A26A54">
              <w:t xml:space="preserve">are also required to </w:t>
            </w:r>
            <w:hyperlink r:id="rId26" w:history="1">
              <w:r w:rsidR="00A26A54" w:rsidRPr="00A26A54">
                <w:rPr>
                  <w:rStyle w:val="Hyperlink"/>
                </w:rPr>
                <w:t>register in SAM.gov</w:t>
              </w:r>
            </w:hyperlink>
            <w:r w:rsidR="00A26A54" w:rsidRPr="00A26A54">
              <w:t xml:space="preserve">. </w:t>
            </w:r>
          </w:p>
          <w:p w14:paraId="0BE202CB" w14:textId="77777777" w:rsidR="00A26A54" w:rsidRDefault="00A26A54" w:rsidP="00E85DD2">
            <w:pPr>
              <w:pStyle w:val="NoSpacing"/>
            </w:pPr>
          </w:p>
        </w:tc>
      </w:tr>
    </w:tbl>
    <w:p w14:paraId="1CE44FD8" w14:textId="77777777" w:rsidR="00425C33" w:rsidRDefault="00425C33" w:rsidP="00425C33">
      <w:pPr>
        <w:pStyle w:val="NoSpacing"/>
      </w:pPr>
    </w:p>
    <w:p w14:paraId="7DD84735" w14:textId="313C015F" w:rsidR="002579E2" w:rsidRDefault="00B63F10" w:rsidP="00D71221">
      <w:pPr>
        <w:pStyle w:val="Heading1"/>
      </w:pPr>
      <w:bookmarkStart w:id="35" w:name="_Toc85131151"/>
      <w:bookmarkStart w:id="36" w:name="_Toc85442010"/>
      <w:r>
        <w:lastRenderedPageBreak/>
        <w:t xml:space="preserve">If NEUs decide to </w:t>
      </w:r>
      <w:r w:rsidR="00C576F2">
        <w:t>establish</w:t>
      </w:r>
      <w:r w:rsidR="00FB56F8">
        <w:t xml:space="preserve"> a </w:t>
      </w:r>
      <w:r w:rsidR="00FB56F8" w:rsidRPr="0048289F">
        <w:rPr>
          <w:b/>
          <w:bCs/>
        </w:rPr>
        <w:t>beneficiary</w:t>
      </w:r>
      <w:r w:rsidR="00FB56F8">
        <w:t xml:space="preserve"> program</w:t>
      </w:r>
      <w:bookmarkEnd w:id="35"/>
      <w:bookmarkEnd w:id="36"/>
    </w:p>
    <w:p w14:paraId="00C0916E" w14:textId="14D08F48" w:rsidR="002579E2" w:rsidRDefault="008B7956" w:rsidP="00D71221">
      <w:pPr>
        <w:keepNext/>
        <w:keepLines/>
      </w:pPr>
      <w:r>
        <w:t xml:space="preserve">If an NEU decides to implement a beneficiary program that it will administer itself, such as </w:t>
      </w:r>
      <w:r w:rsidR="007E66BC">
        <w:t>providing an economic support stipend to low</w:t>
      </w:r>
      <w:r w:rsidR="0077781B">
        <w:t>-</w:t>
      </w:r>
      <w:r w:rsidR="007E66BC">
        <w:t xml:space="preserve">income </w:t>
      </w:r>
      <w:r w:rsidR="00480F62">
        <w:t>residents, the NEU should thoroughly document the process it follow</w:t>
      </w:r>
      <w:r w:rsidR="0090488E">
        <w:t>s</w:t>
      </w:r>
      <w:r w:rsidR="00480F62">
        <w:t xml:space="preserve"> to establish</w:t>
      </w:r>
      <w:r w:rsidR="00430D01">
        <w:t xml:space="preserve"> the program, gather and review applications/eligibility data, and the </w:t>
      </w:r>
      <w:r w:rsidR="0090488E">
        <w:t>process for paying the funds. Internal controls, such as those required of subrecipients administering programs</w:t>
      </w:r>
      <w:r w:rsidR="004D171D">
        <w:t>,</w:t>
      </w:r>
      <w:r w:rsidR="0090488E">
        <w:t xml:space="preserve"> are required</w:t>
      </w:r>
      <w:r w:rsidR="004D171D">
        <w:t xml:space="preserve"> of the NEU </w:t>
      </w:r>
      <w:r w:rsidR="00324048">
        <w:t>administering the program</w:t>
      </w:r>
      <w:r w:rsidR="0090488E">
        <w:t xml:space="preserve">. </w:t>
      </w:r>
    </w:p>
    <w:p w14:paraId="48036EA9" w14:textId="77777777" w:rsidR="008B7956" w:rsidRPr="00C2465F" w:rsidRDefault="008B7956" w:rsidP="0048289F"/>
    <w:p w14:paraId="101BED9A" w14:textId="6D30B5EF" w:rsidR="00790D53" w:rsidRPr="00790D53" w:rsidRDefault="00CD5F47" w:rsidP="00D71221">
      <w:pPr>
        <w:pStyle w:val="Heading1"/>
      </w:pPr>
      <w:bookmarkStart w:id="37" w:name="_Toc85131152"/>
      <w:bookmarkStart w:id="38" w:name="_Toc85442011"/>
      <w:r>
        <w:t>Best Practices</w:t>
      </w:r>
      <w:bookmarkEnd w:id="37"/>
      <w:bookmarkEnd w:id="38"/>
    </w:p>
    <w:p w14:paraId="7D0AFB3A" w14:textId="485938E9" w:rsidR="00CD5F47" w:rsidRDefault="006526D3" w:rsidP="006526D3">
      <w:pPr>
        <w:pStyle w:val="Heading4"/>
      </w:pPr>
      <w:r>
        <w:t>Review Federal Grant Guidance from Treasury</w:t>
      </w:r>
    </w:p>
    <w:p w14:paraId="28591A0D" w14:textId="3351DA18" w:rsidR="00280FD4" w:rsidRDefault="00280FD4" w:rsidP="006526D3">
      <w:pPr>
        <w:pStyle w:val="NoSpacing"/>
      </w:pPr>
      <w:r>
        <w:t>This desk reference is meant to provide NEU</w:t>
      </w:r>
      <w:r w:rsidR="00CB3A7D">
        <w:t>s, whether prime recipient or subrecipient status</w:t>
      </w:r>
      <w:r>
        <w:t xml:space="preserve">, with an overview of the compliance requirements associated with </w:t>
      </w:r>
      <w:r w:rsidR="00D42614">
        <w:t>LFRF</w:t>
      </w:r>
      <w:r>
        <w:t xml:space="preserve"> funds. However, it should not serve as a substitute for reviewing the applicable federal grant guidance </w:t>
      </w:r>
      <w:r w:rsidRPr="00AD2154">
        <w:t xml:space="preserve">located </w:t>
      </w:r>
      <w:hyperlink r:id="rId27" w:history="1">
        <w:r w:rsidRPr="00AD2154">
          <w:rPr>
            <w:rStyle w:val="Hyperlink"/>
          </w:rPr>
          <w:t>here</w:t>
        </w:r>
      </w:hyperlink>
      <w:r>
        <w:t xml:space="preserve">. </w:t>
      </w:r>
    </w:p>
    <w:p w14:paraId="7D4926F5" w14:textId="21E9197D" w:rsidR="00280FD4" w:rsidRDefault="00280FD4" w:rsidP="00280FD4">
      <w:pPr>
        <w:pStyle w:val="NoSpacing"/>
      </w:pPr>
    </w:p>
    <w:p w14:paraId="068397E5" w14:textId="00C80F4A" w:rsidR="006526D3" w:rsidRDefault="006526D3" w:rsidP="006526D3">
      <w:pPr>
        <w:pStyle w:val="Heading4"/>
      </w:pPr>
      <w:r>
        <w:t xml:space="preserve">Establish Internal Controls </w:t>
      </w:r>
    </w:p>
    <w:p w14:paraId="4348247D" w14:textId="7FCACE81" w:rsidR="00280FD4" w:rsidRDefault="00876BD1" w:rsidP="00280FD4">
      <w:pPr>
        <w:pStyle w:val="NoSpacing"/>
      </w:pPr>
      <w:r>
        <w:t>NEUs</w:t>
      </w:r>
      <w:r w:rsidR="00280FD4">
        <w:t xml:space="preserve"> should also consider what internal controls exist or can be developed to ensure consistency and compliance with the </w:t>
      </w:r>
      <w:r w:rsidR="00D42614">
        <w:t>LFRF</w:t>
      </w:r>
      <w:r w:rsidR="00280FD4">
        <w:t xml:space="preserve"> rules and requirements. The work to review the guidance and develop internal contracts should take place before grant spending begins, to ensure that the right systems and processes are in place from day one.</w:t>
      </w:r>
    </w:p>
    <w:p w14:paraId="41AC9ACA" w14:textId="452A4EAB" w:rsidR="00280FD4" w:rsidRDefault="00280FD4" w:rsidP="00280FD4">
      <w:pPr>
        <w:pStyle w:val="NoSpacing"/>
      </w:pPr>
    </w:p>
    <w:p w14:paraId="0318D2F6" w14:textId="1D5D76F8" w:rsidR="006526D3" w:rsidRDefault="006526D3" w:rsidP="006526D3">
      <w:pPr>
        <w:pStyle w:val="Heading4"/>
      </w:pPr>
      <w:r>
        <w:t xml:space="preserve">When in Doubt, Reach Out </w:t>
      </w:r>
    </w:p>
    <w:p w14:paraId="4A998A33" w14:textId="04BDFCED" w:rsidR="00280FD4" w:rsidRDefault="006161EF" w:rsidP="00280FD4">
      <w:pPr>
        <w:pStyle w:val="NoSpacing"/>
      </w:pPr>
      <w:r>
        <w:t>The Governor’s Office for Emergency Relief and Recovery</w:t>
      </w:r>
      <w:r w:rsidR="00280FD4">
        <w:t xml:space="preserve"> serve</w:t>
      </w:r>
      <w:r w:rsidR="00876BD1">
        <w:t>s</w:t>
      </w:r>
      <w:r w:rsidR="00280FD4">
        <w:t xml:space="preserve"> as a resource and can be contacted in case of questions throughout the lifecycle of the ARPA-</w:t>
      </w:r>
      <w:r w:rsidR="00D42614">
        <w:t>LFRF</w:t>
      </w:r>
      <w:r w:rsidR="00280FD4">
        <w:t xml:space="preserve"> funds.</w:t>
      </w:r>
    </w:p>
    <w:p w14:paraId="171A424D" w14:textId="656E3E57" w:rsidR="00876BD1" w:rsidRDefault="00876BD1" w:rsidP="00280FD4">
      <w:pPr>
        <w:pStyle w:val="NoSpacing"/>
      </w:pPr>
    </w:p>
    <w:p w14:paraId="1F4A8098" w14:textId="157CAEC0" w:rsidR="00E85EB9" w:rsidRDefault="00876BD1" w:rsidP="00CD2B6F">
      <w:pPr>
        <w:pStyle w:val="NoSpacing"/>
      </w:pPr>
      <w:r>
        <w:t xml:space="preserve">To </w:t>
      </w:r>
      <w:r w:rsidR="006526D3">
        <w:t>connect with</w:t>
      </w:r>
      <w:r>
        <w:t xml:space="preserve"> the GOFERR office</w:t>
      </w:r>
      <w:r w:rsidR="006526D3">
        <w:t xml:space="preserve"> regarding questions and concerns</w:t>
      </w:r>
      <w:r>
        <w:t xml:space="preserve">, please reach out </w:t>
      </w:r>
      <w:r w:rsidR="006161EF">
        <w:t xml:space="preserve">via the inquiry request </w:t>
      </w:r>
      <w:hyperlink r:id="rId28" w:history="1">
        <w:r w:rsidR="006161EF" w:rsidRPr="006161EF">
          <w:rPr>
            <w:rStyle w:val="Hyperlink"/>
          </w:rPr>
          <w:t>located here</w:t>
        </w:r>
      </w:hyperlink>
      <w:r w:rsidR="006161EF">
        <w:t xml:space="preserve">. </w:t>
      </w:r>
    </w:p>
    <w:p w14:paraId="66D331D8" w14:textId="6FD79143" w:rsidR="00C04786" w:rsidRDefault="00C04786" w:rsidP="00C04786"/>
    <w:p w14:paraId="3BECAC27" w14:textId="019534E8" w:rsidR="001224C1" w:rsidRDefault="001224C1">
      <w:r>
        <w:br w:type="page"/>
      </w:r>
    </w:p>
    <w:p w14:paraId="541B4880" w14:textId="7784A6A9" w:rsidR="001224C1" w:rsidRDefault="001224C1" w:rsidP="001224C1">
      <w:pPr>
        <w:pStyle w:val="Heading1"/>
      </w:pPr>
      <w:r>
        <w:lastRenderedPageBreak/>
        <w:t>Appendix</w:t>
      </w:r>
    </w:p>
    <w:p w14:paraId="36FAA5A5" w14:textId="38F2AA48" w:rsidR="00CC3CA0" w:rsidRDefault="00CC3CA0" w:rsidP="00CC3CA0">
      <w:pPr>
        <w:pStyle w:val="Heading2"/>
      </w:pPr>
      <w:r>
        <w:t>Subrecipient Evaluation Tool</w:t>
      </w:r>
    </w:p>
    <w:p w14:paraId="1E3596A1" w14:textId="6EEEC7E5" w:rsidR="009D3929" w:rsidRDefault="0035758E" w:rsidP="008A0F35">
      <w:pPr>
        <w:pStyle w:val="NoSpacing"/>
      </w:pPr>
      <w:r>
        <w:t xml:space="preserve">When working with a subrecipient, it is the responsibility of the prime recipient to ensure that </w:t>
      </w:r>
      <w:r w:rsidR="009D3929">
        <w:t xml:space="preserve">the subrecipient </w:t>
      </w:r>
      <w:r w:rsidR="00B83FEA">
        <w:t>can carry</w:t>
      </w:r>
      <w:r w:rsidR="009D3929">
        <w:t xml:space="preserve"> out the project as required.</w:t>
      </w:r>
      <w:r w:rsidR="00DC58AA">
        <w:t xml:space="preserve"> </w:t>
      </w:r>
      <w:r w:rsidR="008A0F35">
        <w:t xml:space="preserve">One way to assess risk is by completing a risk assessment tool, like the one embedded below. This tool was developed using subrecipient requirements set forth by 2 CFR 200 and outlined earlier in this Desk Reference. </w:t>
      </w:r>
      <w:r w:rsidR="00656C4C">
        <w:t xml:space="preserve">Based on the outcome of the </w:t>
      </w:r>
      <w:r w:rsidR="008A0F35">
        <w:t>risk assessment</w:t>
      </w:r>
      <w:r w:rsidR="00656C4C">
        <w:t xml:space="preserve"> tool, the prime recipient can design a monitoring plan that is tailored to </w:t>
      </w:r>
      <w:r w:rsidR="008A0F35">
        <w:t>the identified risks</w:t>
      </w:r>
      <w:r w:rsidR="0063779D">
        <w:t xml:space="preserve">, with the minimum being required reporting as specified by </w:t>
      </w:r>
      <w:r w:rsidR="00813D95">
        <w:t>grant guidance</w:t>
      </w:r>
      <w:r w:rsidR="00656C4C">
        <w:t>.</w:t>
      </w:r>
    </w:p>
    <w:p w14:paraId="59778431" w14:textId="01A80015" w:rsidR="003D0920" w:rsidRDefault="003D0920" w:rsidP="008A0F35">
      <w:pPr>
        <w:pStyle w:val="NoSpacing"/>
      </w:pPr>
    </w:p>
    <w:p w14:paraId="2517E3F9" w14:textId="08DDF7B9" w:rsidR="003D0920" w:rsidRDefault="003D0920" w:rsidP="008A0F35">
      <w:pPr>
        <w:pStyle w:val="NoSpacing"/>
      </w:pPr>
      <w:r>
        <w:t>Note that this tool is intended to support the prime recipient in evaluating potential risks for a subrecipient, but utilization of this tool is not required.</w:t>
      </w:r>
    </w:p>
    <w:p w14:paraId="46753AAD" w14:textId="77777777" w:rsidR="003D0920" w:rsidRDefault="003D0920" w:rsidP="008A0F35">
      <w:pPr>
        <w:pStyle w:val="NoSpacing"/>
      </w:pPr>
    </w:p>
    <w:bookmarkStart w:id="39" w:name="_MON_1699948477"/>
    <w:bookmarkEnd w:id="39"/>
    <w:p w14:paraId="5FF55715" w14:textId="4FF2E084" w:rsidR="009F542F" w:rsidRPr="00CC3CA0" w:rsidRDefault="00BF4FCA" w:rsidP="00CC3CA0">
      <w:r>
        <w:object w:dxaOrig="1596" w:dyaOrig="1011" w14:anchorId="03807947">
          <v:shape id="_x0000_i1025" type="#_x0000_t75" style="width:79.5pt;height:50.25pt" o:ole="">
            <v:imagedata r:id="rId29" o:title=""/>
          </v:shape>
          <o:OLEObject Type="Embed" ProgID="Excel.Sheet.12" ShapeID="_x0000_i1025" DrawAspect="Icon" ObjectID="_1704630348" r:id="rId30"/>
        </w:object>
      </w:r>
    </w:p>
    <w:p w14:paraId="69703204" w14:textId="1481AC55" w:rsidR="007F207B" w:rsidRPr="007F207B" w:rsidRDefault="007F207B" w:rsidP="0048289F"/>
    <w:sectPr w:rsidR="007F207B" w:rsidRPr="007F207B">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87804" w14:textId="77777777" w:rsidR="00246A1A" w:rsidRDefault="00246A1A" w:rsidP="0011082D">
      <w:pPr>
        <w:spacing w:after="0" w:line="240" w:lineRule="auto"/>
      </w:pPr>
      <w:r>
        <w:separator/>
      </w:r>
    </w:p>
  </w:endnote>
  <w:endnote w:type="continuationSeparator" w:id="0">
    <w:p w14:paraId="10D8A007" w14:textId="77777777" w:rsidR="00246A1A" w:rsidRDefault="00246A1A" w:rsidP="0011082D">
      <w:pPr>
        <w:spacing w:after="0" w:line="240" w:lineRule="auto"/>
      </w:pPr>
      <w:r>
        <w:continuationSeparator/>
      </w:r>
    </w:p>
  </w:endnote>
  <w:endnote w:type="continuationNotice" w:id="1">
    <w:p w14:paraId="01EFEF6C" w14:textId="77777777" w:rsidR="00246A1A" w:rsidRDefault="00246A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5804289"/>
      <w:docPartObj>
        <w:docPartGallery w:val="Page Numbers (Bottom of Page)"/>
        <w:docPartUnique/>
      </w:docPartObj>
    </w:sdtPr>
    <w:sdtEndPr>
      <w:rPr>
        <w:noProof/>
      </w:rPr>
    </w:sdtEndPr>
    <w:sdtContent>
      <w:p w14:paraId="56441B7B" w14:textId="44456DF4" w:rsidR="00770480" w:rsidRDefault="007704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6ADEF5" w14:textId="77777777" w:rsidR="00770480" w:rsidRDefault="00770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795A9" w14:textId="77777777" w:rsidR="00246A1A" w:rsidRDefault="00246A1A" w:rsidP="0011082D">
      <w:pPr>
        <w:spacing w:after="0" w:line="240" w:lineRule="auto"/>
      </w:pPr>
      <w:r>
        <w:separator/>
      </w:r>
    </w:p>
  </w:footnote>
  <w:footnote w:type="continuationSeparator" w:id="0">
    <w:p w14:paraId="54385423" w14:textId="77777777" w:rsidR="00246A1A" w:rsidRDefault="00246A1A" w:rsidP="0011082D">
      <w:pPr>
        <w:spacing w:after="0" w:line="240" w:lineRule="auto"/>
      </w:pPr>
      <w:r>
        <w:continuationSeparator/>
      </w:r>
    </w:p>
  </w:footnote>
  <w:footnote w:type="continuationNotice" w:id="1">
    <w:p w14:paraId="05EC9DF2" w14:textId="77777777" w:rsidR="00246A1A" w:rsidRDefault="00246A1A">
      <w:pPr>
        <w:spacing w:after="0" w:line="240" w:lineRule="auto"/>
      </w:pPr>
    </w:p>
  </w:footnote>
  <w:footnote w:id="2">
    <w:p w14:paraId="1764126E" w14:textId="517BCE64" w:rsidR="008C4B40" w:rsidRDefault="008C4B40">
      <w:pPr>
        <w:pStyle w:val="FootnoteText"/>
      </w:pPr>
      <w:r>
        <w:rPr>
          <w:rStyle w:val="FootnoteReference"/>
        </w:rPr>
        <w:footnoteRef/>
      </w:r>
      <w:r>
        <w:t xml:space="preserve"> </w:t>
      </w:r>
      <w:r w:rsidR="00FB06B7">
        <w:t xml:space="preserve">To access the complete guidance, </w:t>
      </w:r>
      <w:r w:rsidR="003B214E">
        <w:t>copy and paste this link into your web browser</w:t>
      </w:r>
      <w:r w:rsidR="00FB06B7">
        <w:t xml:space="preserve">: </w:t>
      </w:r>
      <w:hyperlink r:id="rId1" w:history="1">
        <w:r w:rsidR="00FB06B7" w:rsidRPr="0051621A">
          <w:rPr>
            <w:rStyle w:val="Hyperlink"/>
          </w:rPr>
          <w:t>https://www.ecfr.gov/current/title-2/subtitle-A/chapter-II/part-200?toc=1</w:t>
        </w:r>
      </w:hyperlink>
      <w:r w:rsidR="003B214E">
        <w:t xml:space="preserve"> </w:t>
      </w:r>
    </w:p>
  </w:footnote>
  <w:footnote w:id="3">
    <w:p w14:paraId="2C024A26" w14:textId="1E9DF22F" w:rsidR="00F84D74" w:rsidRDefault="00F84D74" w:rsidP="00F84D74">
      <w:pPr>
        <w:pStyle w:val="FootnoteText"/>
      </w:pPr>
      <w:r>
        <w:rPr>
          <w:rStyle w:val="FootnoteReference"/>
        </w:rPr>
        <w:footnoteRef/>
      </w:r>
      <w:r>
        <w:t xml:space="preserve"> D</w:t>
      </w:r>
      <w:r w:rsidRPr="007A30A8">
        <w:t>efined in section 603(g)(5) of the Social Security Act, as added by section 9901 of the American Rescue Plan Act of 2021</w:t>
      </w:r>
      <w:r>
        <w:t>.</w:t>
      </w:r>
    </w:p>
  </w:footnote>
  <w:footnote w:id="4">
    <w:p w14:paraId="6EE35271" w14:textId="39384F66" w:rsidR="00F84D74" w:rsidRDefault="00F84D74" w:rsidP="00F84D74">
      <w:pPr>
        <w:pStyle w:val="FootnoteText"/>
      </w:pPr>
      <w:r>
        <w:rPr>
          <w:rStyle w:val="FootnoteReference"/>
        </w:rPr>
        <w:footnoteRef/>
      </w:r>
      <w:r>
        <w:t xml:space="preserve"> It is possible that some </w:t>
      </w:r>
      <w:r w:rsidDel="007E6695">
        <w:t xml:space="preserve">NEUs </w:t>
      </w:r>
      <w:r>
        <w:t xml:space="preserve">will </w:t>
      </w:r>
      <w:r w:rsidR="005137ED">
        <w:t xml:space="preserve">also </w:t>
      </w:r>
      <w:r>
        <w:t xml:space="preserve">receive </w:t>
      </w:r>
      <w:r w:rsidR="00A906A5">
        <w:t xml:space="preserve">Coronavirus </w:t>
      </w:r>
      <w:r>
        <w:t xml:space="preserve">State Fiscal Recovery Funds (SFRF) </w:t>
      </w:r>
      <w:r w:rsidDel="007E6695">
        <w:t xml:space="preserve">from the State of New Hampshire </w:t>
      </w:r>
      <w:r>
        <w:t xml:space="preserve">to administer a program or project on behalf of the State (for example, a broadband project). In that case, the NEU would be considered </w:t>
      </w:r>
      <w:r w:rsidR="005137ED" w:rsidRPr="005137ED">
        <w:rPr>
          <w:i/>
          <w:iCs/>
        </w:rPr>
        <w:t>both</w:t>
      </w:r>
      <w:r w:rsidR="005137ED">
        <w:t xml:space="preserve"> a prime recipient </w:t>
      </w:r>
      <w:r w:rsidR="00A906A5">
        <w:t xml:space="preserve">of LFRF </w:t>
      </w:r>
      <w:r w:rsidR="005137ED" w:rsidRPr="005137ED">
        <w:rPr>
          <w:i/>
          <w:iCs/>
        </w:rPr>
        <w:t>and</w:t>
      </w:r>
      <w:r w:rsidR="005137ED">
        <w:t xml:space="preserve"> </w:t>
      </w:r>
      <w:r w:rsidRPr="005137ED">
        <w:t>a</w:t>
      </w:r>
      <w:r>
        <w:t xml:space="preserve"> subrecipient of the SFRF</w:t>
      </w:r>
      <w:r w:rsidRPr="003669A3">
        <w:t>.</w:t>
      </w:r>
      <w:r>
        <w:t xml:space="preserve"> If this occurs, your subrecipient agreement with the state will outline your requirements as a subrecipient of the state’s SFRF.</w:t>
      </w:r>
      <w:r w:rsidR="00A608DA">
        <w:t xml:space="preserve"> For</w:t>
      </w:r>
      <w:r w:rsidR="00BA4688">
        <w:t xml:space="preserve"> single</w:t>
      </w:r>
      <w:r w:rsidR="00A608DA">
        <w:t xml:space="preserve"> audit purposes, SFRF and LFRF are considered a single program (SLFRF)</w:t>
      </w:r>
      <w:r w:rsidR="00104E0A">
        <w:t>, and if an NEU provides a subgrant</w:t>
      </w:r>
      <w:r w:rsidR="00E873AC">
        <w:t xml:space="preserve"> to an entity that also receives a subgrant from the state, </w:t>
      </w:r>
      <w:r w:rsidR="00B0124E">
        <w:t>those two funding amounts will be combined</w:t>
      </w:r>
      <w:r w:rsidR="00A608DA">
        <w:t>.</w:t>
      </w:r>
    </w:p>
  </w:footnote>
  <w:footnote w:id="5">
    <w:p w14:paraId="57314F2F" w14:textId="6772A808" w:rsidR="00BC538C" w:rsidRDefault="00BC538C">
      <w:pPr>
        <w:pStyle w:val="FootnoteText"/>
      </w:pPr>
      <w:r>
        <w:rPr>
          <w:rStyle w:val="FootnoteReference"/>
        </w:rPr>
        <w:footnoteRef/>
      </w:r>
      <w:r>
        <w:t xml:space="preserve"> In limited cases, a government can be a beneficiary, especially when a government agency provides a service alongside a non-profit or for-profit business (e.g., childcare provided in a school).</w:t>
      </w:r>
    </w:p>
  </w:footnote>
  <w:footnote w:id="6">
    <w:p w14:paraId="3DC4A088" w14:textId="4C5BC2E1" w:rsidR="001E5EEE" w:rsidRDefault="001E5EEE">
      <w:pPr>
        <w:pStyle w:val="FootnoteText"/>
      </w:pPr>
      <w:r>
        <w:rPr>
          <w:rStyle w:val="FootnoteReference"/>
        </w:rPr>
        <w:footnoteRef/>
      </w:r>
      <w:r>
        <w:t xml:space="preserve"> </w:t>
      </w:r>
      <w:r w:rsidR="001224C1">
        <w:t xml:space="preserve">For additional guidance, please refer to the Subrecipient Risk Assessment </w:t>
      </w:r>
      <w:r w:rsidR="00C20D1A">
        <w:t>embedded</w:t>
      </w:r>
      <w:r w:rsidR="001224C1">
        <w:t xml:space="preserve"> in the Appendix.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42ED2"/>
    <w:multiLevelType w:val="hybridMultilevel"/>
    <w:tmpl w:val="F45C2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7915C8"/>
    <w:multiLevelType w:val="hybridMultilevel"/>
    <w:tmpl w:val="BDA6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04F95"/>
    <w:multiLevelType w:val="hybridMultilevel"/>
    <w:tmpl w:val="FE42C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B69F2"/>
    <w:multiLevelType w:val="hybridMultilevel"/>
    <w:tmpl w:val="6EC4F308"/>
    <w:lvl w:ilvl="0" w:tplc="DD8A8B0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1285"/>
    <w:multiLevelType w:val="hybridMultilevel"/>
    <w:tmpl w:val="FFFFFFFF"/>
    <w:lvl w:ilvl="0" w:tplc="7C621C86">
      <w:start w:val="1"/>
      <w:numFmt w:val="upperRoman"/>
      <w:lvlText w:val="%1."/>
      <w:lvlJc w:val="right"/>
      <w:pPr>
        <w:ind w:left="720" w:hanging="360"/>
      </w:pPr>
    </w:lvl>
    <w:lvl w:ilvl="1" w:tplc="B524A194">
      <w:start w:val="1"/>
      <w:numFmt w:val="lowerLetter"/>
      <w:lvlText w:val="%2."/>
      <w:lvlJc w:val="left"/>
      <w:pPr>
        <w:ind w:left="1440" w:hanging="360"/>
      </w:pPr>
    </w:lvl>
    <w:lvl w:ilvl="2" w:tplc="39A0432E">
      <w:start w:val="1"/>
      <w:numFmt w:val="lowerRoman"/>
      <w:lvlText w:val="%3."/>
      <w:lvlJc w:val="right"/>
      <w:pPr>
        <w:ind w:left="2160" w:hanging="180"/>
      </w:pPr>
    </w:lvl>
    <w:lvl w:ilvl="3" w:tplc="CF22D372">
      <w:start w:val="1"/>
      <w:numFmt w:val="decimal"/>
      <w:lvlText w:val="%4."/>
      <w:lvlJc w:val="left"/>
      <w:pPr>
        <w:ind w:left="2880" w:hanging="360"/>
      </w:pPr>
    </w:lvl>
    <w:lvl w:ilvl="4" w:tplc="52BC8C7A">
      <w:start w:val="1"/>
      <w:numFmt w:val="lowerLetter"/>
      <w:lvlText w:val="%5."/>
      <w:lvlJc w:val="left"/>
      <w:pPr>
        <w:ind w:left="3600" w:hanging="360"/>
      </w:pPr>
    </w:lvl>
    <w:lvl w:ilvl="5" w:tplc="C1764570">
      <w:start w:val="1"/>
      <w:numFmt w:val="lowerRoman"/>
      <w:lvlText w:val="%6."/>
      <w:lvlJc w:val="right"/>
      <w:pPr>
        <w:ind w:left="4320" w:hanging="180"/>
      </w:pPr>
    </w:lvl>
    <w:lvl w:ilvl="6" w:tplc="581EF334">
      <w:start w:val="1"/>
      <w:numFmt w:val="decimal"/>
      <w:lvlText w:val="%7."/>
      <w:lvlJc w:val="left"/>
      <w:pPr>
        <w:ind w:left="5040" w:hanging="360"/>
      </w:pPr>
    </w:lvl>
    <w:lvl w:ilvl="7" w:tplc="BC8275FC">
      <w:start w:val="1"/>
      <w:numFmt w:val="lowerLetter"/>
      <w:lvlText w:val="%8."/>
      <w:lvlJc w:val="left"/>
      <w:pPr>
        <w:ind w:left="5760" w:hanging="360"/>
      </w:pPr>
    </w:lvl>
    <w:lvl w:ilvl="8" w:tplc="C00E4B02">
      <w:start w:val="1"/>
      <w:numFmt w:val="lowerRoman"/>
      <w:lvlText w:val="%9."/>
      <w:lvlJc w:val="right"/>
      <w:pPr>
        <w:ind w:left="6480" w:hanging="180"/>
      </w:pPr>
    </w:lvl>
  </w:abstractNum>
  <w:abstractNum w:abstractNumId="5" w15:restartNumberingAfterBreak="0">
    <w:nsid w:val="15481A2E"/>
    <w:multiLevelType w:val="hybridMultilevel"/>
    <w:tmpl w:val="087C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B5023"/>
    <w:multiLevelType w:val="hybridMultilevel"/>
    <w:tmpl w:val="ECFA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A39D4"/>
    <w:multiLevelType w:val="hybridMultilevel"/>
    <w:tmpl w:val="9CAA8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E1138"/>
    <w:multiLevelType w:val="hybridMultilevel"/>
    <w:tmpl w:val="FFFFFFFF"/>
    <w:lvl w:ilvl="0" w:tplc="6792C836">
      <w:start w:val="1"/>
      <w:numFmt w:val="decimal"/>
      <w:lvlText w:val="%1."/>
      <w:lvlJc w:val="left"/>
      <w:pPr>
        <w:ind w:left="720" w:hanging="360"/>
      </w:pPr>
    </w:lvl>
    <w:lvl w:ilvl="1" w:tplc="78641E88">
      <w:start w:val="1"/>
      <w:numFmt w:val="lowerLetter"/>
      <w:lvlText w:val="%2."/>
      <w:lvlJc w:val="left"/>
      <w:pPr>
        <w:ind w:left="1440" w:hanging="360"/>
      </w:pPr>
    </w:lvl>
    <w:lvl w:ilvl="2" w:tplc="B4FCDC3E">
      <w:start w:val="1"/>
      <w:numFmt w:val="lowerRoman"/>
      <w:lvlText w:val="%3."/>
      <w:lvlJc w:val="right"/>
      <w:pPr>
        <w:ind w:left="2160" w:hanging="180"/>
      </w:pPr>
    </w:lvl>
    <w:lvl w:ilvl="3" w:tplc="CA64D5AA">
      <w:start w:val="1"/>
      <w:numFmt w:val="decimal"/>
      <w:lvlText w:val="%4."/>
      <w:lvlJc w:val="left"/>
      <w:pPr>
        <w:ind w:left="2880" w:hanging="360"/>
      </w:pPr>
    </w:lvl>
    <w:lvl w:ilvl="4" w:tplc="70BC7D6C">
      <w:start w:val="1"/>
      <w:numFmt w:val="lowerLetter"/>
      <w:lvlText w:val="%5."/>
      <w:lvlJc w:val="left"/>
      <w:pPr>
        <w:ind w:left="3600" w:hanging="360"/>
      </w:pPr>
    </w:lvl>
    <w:lvl w:ilvl="5" w:tplc="3AFE6C38">
      <w:start w:val="1"/>
      <w:numFmt w:val="lowerRoman"/>
      <w:lvlText w:val="%6."/>
      <w:lvlJc w:val="right"/>
      <w:pPr>
        <w:ind w:left="4320" w:hanging="180"/>
      </w:pPr>
    </w:lvl>
    <w:lvl w:ilvl="6" w:tplc="2E8E7518">
      <w:start w:val="1"/>
      <w:numFmt w:val="decimal"/>
      <w:lvlText w:val="%7."/>
      <w:lvlJc w:val="left"/>
      <w:pPr>
        <w:ind w:left="5040" w:hanging="360"/>
      </w:pPr>
    </w:lvl>
    <w:lvl w:ilvl="7" w:tplc="AF0AB70C">
      <w:start w:val="1"/>
      <w:numFmt w:val="lowerLetter"/>
      <w:lvlText w:val="%8."/>
      <w:lvlJc w:val="left"/>
      <w:pPr>
        <w:ind w:left="5760" w:hanging="360"/>
      </w:pPr>
    </w:lvl>
    <w:lvl w:ilvl="8" w:tplc="E32213D8">
      <w:start w:val="1"/>
      <w:numFmt w:val="lowerRoman"/>
      <w:lvlText w:val="%9."/>
      <w:lvlJc w:val="right"/>
      <w:pPr>
        <w:ind w:left="6480" w:hanging="180"/>
      </w:pPr>
    </w:lvl>
  </w:abstractNum>
  <w:abstractNum w:abstractNumId="9" w15:restartNumberingAfterBreak="0">
    <w:nsid w:val="1BDE4126"/>
    <w:multiLevelType w:val="hybridMultilevel"/>
    <w:tmpl w:val="C4407C60"/>
    <w:lvl w:ilvl="0" w:tplc="CC92B7AC">
      <w:start w:val="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1264B2"/>
    <w:multiLevelType w:val="hybridMultilevel"/>
    <w:tmpl w:val="FFFFFFFF"/>
    <w:lvl w:ilvl="0" w:tplc="7D8C0A74">
      <w:start w:val="1"/>
      <w:numFmt w:val="upperRoman"/>
      <w:lvlText w:val="%1."/>
      <w:lvlJc w:val="right"/>
      <w:pPr>
        <w:ind w:left="720" w:hanging="360"/>
      </w:pPr>
    </w:lvl>
    <w:lvl w:ilvl="1" w:tplc="7F3A6690">
      <w:start w:val="1"/>
      <w:numFmt w:val="lowerLetter"/>
      <w:lvlText w:val="%2."/>
      <w:lvlJc w:val="left"/>
      <w:pPr>
        <w:ind w:left="1440" w:hanging="360"/>
      </w:pPr>
    </w:lvl>
    <w:lvl w:ilvl="2" w:tplc="41920A92">
      <w:start w:val="1"/>
      <w:numFmt w:val="lowerRoman"/>
      <w:lvlText w:val="%3."/>
      <w:lvlJc w:val="right"/>
      <w:pPr>
        <w:ind w:left="2160" w:hanging="180"/>
      </w:pPr>
    </w:lvl>
    <w:lvl w:ilvl="3" w:tplc="FDEAAD1E">
      <w:start w:val="1"/>
      <w:numFmt w:val="decimal"/>
      <w:lvlText w:val="%4."/>
      <w:lvlJc w:val="left"/>
      <w:pPr>
        <w:ind w:left="2880" w:hanging="360"/>
      </w:pPr>
    </w:lvl>
    <w:lvl w:ilvl="4" w:tplc="C6AEB8BA">
      <w:start w:val="1"/>
      <w:numFmt w:val="lowerLetter"/>
      <w:lvlText w:val="%5."/>
      <w:lvlJc w:val="left"/>
      <w:pPr>
        <w:ind w:left="3600" w:hanging="360"/>
      </w:pPr>
    </w:lvl>
    <w:lvl w:ilvl="5" w:tplc="427CFC30">
      <w:start w:val="1"/>
      <w:numFmt w:val="lowerRoman"/>
      <w:lvlText w:val="%6."/>
      <w:lvlJc w:val="right"/>
      <w:pPr>
        <w:ind w:left="4320" w:hanging="180"/>
      </w:pPr>
    </w:lvl>
    <w:lvl w:ilvl="6" w:tplc="51187512">
      <w:start w:val="1"/>
      <w:numFmt w:val="decimal"/>
      <w:lvlText w:val="%7."/>
      <w:lvlJc w:val="left"/>
      <w:pPr>
        <w:ind w:left="5040" w:hanging="360"/>
      </w:pPr>
    </w:lvl>
    <w:lvl w:ilvl="7" w:tplc="9266DDB6">
      <w:start w:val="1"/>
      <w:numFmt w:val="lowerLetter"/>
      <w:lvlText w:val="%8."/>
      <w:lvlJc w:val="left"/>
      <w:pPr>
        <w:ind w:left="5760" w:hanging="360"/>
      </w:pPr>
    </w:lvl>
    <w:lvl w:ilvl="8" w:tplc="2A56B2DC">
      <w:start w:val="1"/>
      <w:numFmt w:val="lowerRoman"/>
      <w:lvlText w:val="%9."/>
      <w:lvlJc w:val="right"/>
      <w:pPr>
        <w:ind w:left="6480" w:hanging="180"/>
      </w:pPr>
    </w:lvl>
  </w:abstractNum>
  <w:abstractNum w:abstractNumId="11" w15:restartNumberingAfterBreak="0">
    <w:nsid w:val="1F5E15FB"/>
    <w:multiLevelType w:val="hybridMultilevel"/>
    <w:tmpl w:val="D34213C0"/>
    <w:lvl w:ilvl="0" w:tplc="45482C9C">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9292E"/>
    <w:multiLevelType w:val="hybridMultilevel"/>
    <w:tmpl w:val="FFFFFFFF"/>
    <w:lvl w:ilvl="0" w:tplc="157A4F68">
      <w:start w:val="1"/>
      <w:numFmt w:val="upperRoman"/>
      <w:lvlText w:val="%1."/>
      <w:lvlJc w:val="right"/>
      <w:pPr>
        <w:ind w:left="720" w:hanging="360"/>
      </w:pPr>
    </w:lvl>
    <w:lvl w:ilvl="1" w:tplc="CE0A0042">
      <w:start w:val="1"/>
      <w:numFmt w:val="lowerLetter"/>
      <w:lvlText w:val="%2."/>
      <w:lvlJc w:val="left"/>
      <w:pPr>
        <w:ind w:left="1440" w:hanging="360"/>
      </w:pPr>
    </w:lvl>
    <w:lvl w:ilvl="2" w:tplc="46BAC7D0">
      <w:start w:val="1"/>
      <w:numFmt w:val="lowerRoman"/>
      <w:lvlText w:val="%3."/>
      <w:lvlJc w:val="right"/>
      <w:pPr>
        <w:ind w:left="2160" w:hanging="180"/>
      </w:pPr>
    </w:lvl>
    <w:lvl w:ilvl="3" w:tplc="04408012">
      <w:start w:val="1"/>
      <w:numFmt w:val="decimal"/>
      <w:lvlText w:val="%4."/>
      <w:lvlJc w:val="left"/>
      <w:pPr>
        <w:ind w:left="2880" w:hanging="360"/>
      </w:pPr>
    </w:lvl>
    <w:lvl w:ilvl="4" w:tplc="B10451D2">
      <w:start w:val="1"/>
      <w:numFmt w:val="lowerLetter"/>
      <w:lvlText w:val="%5."/>
      <w:lvlJc w:val="left"/>
      <w:pPr>
        <w:ind w:left="3600" w:hanging="360"/>
      </w:pPr>
    </w:lvl>
    <w:lvl w:ilvl="5" w:tplc="426EC10C">
      <w:start w:val="1"/>
      <w:numFmt w:val="lowerRoman"/>
      <w:lvlText w:val="%6."/>
      <w:lvlJc w:val="right"/>
      <w:pPr>
        <w:ind w:left="4320" w:hanging="180"/>
      </w:pPr>
    </w:lvl>
    <w:lvl w:ilvl="6" w:tplc="6010DCA8">
      <w:start w:val="1"/>
      <w:numFmt w:val="decimal"/>
      <w:lvlText w:val="%7."/>
      <w:lvlJc w:val="left"/>
      <w:pPr>
        <w:ind w:left="5040" w:hanging="360"/>
      </w:pPr>
    </w:lvl>
    <w:lvl w:ilvl="7" w:tplc="BCEE7AA6">
      <w:start w:val="1"/>
      <w:numFmt w:val="lowerLetter"/>
      <w:lvlText w:val="%8."/>
      <w:lvlJc w:val="left"/>
      <w:pPr>
        <w:ind w:left="5760" w:hanging="360"/>
      </w:pPr>
    </w:lvl>
    <w:lvl w:ilvl="8" w:tplc="9F82EB3C">
      <w:start w:val="1"/>
      <w:numFmt w:val="lowerRoman"/>
      <w:lvlText w:val="%9."/>
      <w:lvlJc w:val="right"/>
      <w:pPr>
        <w:ind w:left="6480" w:hanging="180"/>
      </w:pPr>
    </w:lvl>
  </w:abstractNum>
  <w:abstractNum w:abstractNumId="13" w15:restartNumberingAfterBreak="0">
    <w:nsid w:val="23F23E34"/>
    <w:multiLevelType w:val="hybridMultilevel"/>
    <w:tmpl w:val="FFFFFFFF"/>
    <w:lvl w:ilvl="0" w:tplc="28AA8030">
      <w:start w:val="1"/>
      <w:numFmt w:val="bullet"/>
      <w:lvlText w:val=""/>
      <w:lvlJc w:val="left"/>
      <w:pPr>
        <w:ind w:left="720" w:hanging="360"/>
      </w:pPr>
      <w:rPr>
        <w:rFonts w:ascii="Symbol" w:hAnsi="Symbol" w:hint="default"/>
      </w:rPr>
    </w:lvl>
    <w:lvl w:ilvl="1" w:tplc="2FF8C71A">
      <w:start w:val="1"/>
      <w:numFmt w:val="bullet"/>
      <w:lvlText w:val="o"/>
      <w:lvlJc w:val="left"/>
      <w:pPr>
        <w:ind w:left="1440" w:hanging="360"/>
      </w:pPr>
      <w:rPr>
        <w:rFonts w:ascii="Courier New" w:hAnsi="Courier New" w:hint="default"/>
      </w:rPr>
    </w:lvl>
    <w:lvl w:ilvl="2" w:tplc="DB5CD520">
      <w:start w:val="1"/>
      <w:numFmt w:val="bullet"/>
      <w:lvlText w:val=""/>
      <w:lvlJc w:val="left"/>
      <w:pPr>
        <w:ind w:left="2160" w:hanging="360"/>
      </w:pPr>
      <w:rPr>
        <w:rFonts w:ascii="Wingdings" w:hAnsi="Wingdings" w:hint="default"/>
      </w:rPr>
    </w:lvl>
    <w:lvl w:ilvl="3" w:tplc="BE36CF3C">
      <w:start w:val="1"/>
      <w:numFmt w:val="bullet"/>
      <w:lvlText w:val=""/>
      <w:lvlJc w:val="left"/>
      <w:pPr>
        <w:ind w:left="2880" w:hanging="360"/>
      </w:pPr>
      <w:rPr>
        <w:rFonts w:ascii="Symbol" w:hAnsi="Symbol" w:hint="default"/>
      </w:rPr>
    </w:lvl>
    <w:lvl w:ilvl="4" w:tplc="D486D7C6">
      <w:start w:val="1"/>
      <w:numFmt w:val="bullet"/>
      <w:lvlText w:val="o"/>
      <w:lvlJc w:val="left"/>
      <w:pPr>
        <w:ind w:left="3600" w:hanging="360"/>
      </w:pPr>
      <w:rPr>
        <w:rFonts w:ascii="Courier New" w:hAnsi="Courier New" w:hint="default"/>
      </w:rPr>
    </w:lvl>
    <w:lvl w:ilvl="5" w:tplc="528E8026">
      <w:start w:val="1"/>
      <w:numFmt w:val="bullet"/>
      <w:lvlText w:val=""/>
      <w:lvlJc w:val="left"/>
      <w:pPr>
        <w:ind w:left="4320" w:hanging="360"/>
      </w:pPr>
      <w:rPr>
        <w:rFonts w:ascii="Wingdings" w:hAnsi="Wingdings" w:hint="default"/>
      </w:rPr>
    </w:lvl>
    <w:lvl w:ilvl="6" w:tplc="D12C2C5E">
      <w:start w:val="1"/>
      <w:numFmt w:val="bullet"/>
      <w:lvlText w:val=""/>
      <w:lvlJc w:val="left"/>
      <w:pPr>
        <w:ind w:left="5040" w:hanging="360"/>
      </w:pPr>
      <w:rPr>
        <w:rFonts w:ascii="Symbol" w:hAnsi="Symbol" w:hint="default"/>
      </w:rPr>
    </w:lvl>
    <w:lvl w:ilvl="7" w:tplc="787830F4">
      <w:start w:val="1"/>
      <w:numFmt w:val="bullet"/>
      <w:lvlText w:val="o"/>
      <w:lvlJc w:val="left"/>
      <w:pPr>
        <w:ind w:left="5760" w:hanging="360"/>
      </w:pPr>
      <w:rPr>
        <w:rFonts w:ascii="Courier New" w:hAnsi="Courier New" w:hint="default"/>
      </w:rPr>
    </w:lvl>
    <w:lvl w:ilvl="8" w:tplc="75CA59A6">
      <w:start w:val="1"/>
      <w:numFmt w:val="bullet"/>
      <w:lvlText w:val=""/>
      <w:lvlJc w:val="left"/>
      <w:pPr>
        <w:ind w:left="6480" w:hanging="360"/>
      </w:pPr>
      <w:rPr>
        <w:rFonts w:ascii="Wingdings" w:hAnsi="Wingdings" w:hint="default"/>
      </w:rPr>
    </w:lvl>
  </w:abstractNum>
  <w:abstractNum w:abstractNumId="14" w15:restartNumberingAfterBreak="0">
    <w:nsid w:val="24F204F1"/>
    <w:multiLevelType w:val="hybridMultilevel"/>
    <w:tmpl w:val="610E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C7EB6"/>
    <w:multiLevelType w:val="hybridMultilevel"/>
    <w:tmpl w:val="3A3A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246D4"/>
    <w:multiLevelType w:val="hybridMultilevel"/>
    <w:tmpl w:val="B0288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B5869"/>
    <w:multiLevelType w:val="hybridMultilevel"/>
    <w:tmpl w:val="FFFFFFFF"/>
    <w:lvl w:ilvl="0" w:tplc="FA22A546">
      <w:start w:val="1"/>
      <w:numFmt w:val="upperRoman"/>
      <w:lvlText w:val="%1."/>
      <w:lvlJc w:val="right"/>
      <w:pPr>
        <w:ind w:left="720" w:hanging="360"/>
      </w:pPr>
    </w:lvl>
    <w:lvl w:ilvl="1" w:tplc="F2289902">
      <w:start w:val="1"/>
      <w:numFmt w:val="lowerLetter"/>
      <w:lvlText w:val="%2."/>
      <w:lvlJc w:val="left"/>
      <w:pPr>
        <w:ind w:left="1440" w:hanging="360"/>
      </w:pPr>
    </w:lvl>
    <w:lvl w:ilvl="2" w:tplc="5A9A5B9C">
      <w:start w:val="1"/>
      <w:numFmt w:val="lowerRoman"/>
      <w:lvlText w:val="%3."/>
      <w:lvlJc w:val="right"/>
      <w:pPr>
        <w:ind w:left="2160" w:hanging="180"/>
      </w:pPr>
    </w:lvl>
    <w:lvl w:ilvl="3" w:tplc="C302B64C">
      <w:start w:val="1"/>
      <w:numFmt w:val="decimal"/>
      <w:lvlText w:val="%4."/>
      <w:lvlJc w:val="left"/>
      <w:pPr>
        <w:ind w:left="2880" w:hanging="360"/>
      </w:pPr>
    </w:lvl>
    <w:lvl w:ilvl="4" w:tplc="3316228E">
      <w:start w:val="1"/>
      <w:numFmt w:val="lowerLetter"/>
      <w:lvlText w:val="%5."/>
      <w:lvlJc w:val="left"/>
      <w:pPr>
        <w:ind w:left="3600" w:hanging="360"/>
      </w:pPr>
    </w:lvl>
    <w:lvl w:ilvl="5" w:tplc="07688868">
      <w:start w:val="1"/>
      <w:numFmt w:val="lowerRoman"/>
      <w:lvlText w:val="%6."/>
      <w:lvlJc w:val="right"/>
      <w:pPr>
        <w:ind w:left="4320" w:hanging="180"/>
      </w:pPr>
    </w:lvl>
    <w:lvl w:ilvl="6" w:tplc="9CEEDC60">
      <w:start w:val="1"/>
      <w:numFmt w:val="decimal"/>
      <w:lvlText w:val="%7."/>
      <w:lvlJc w:val="left"/>
      <w:pPr>
        <w:ind w:left="5040" w:hanging="360"/>
      </w:pPr>
    </w:lvl>
    <w:lvl w:ilvl="7" w:tplc="D8282742">
      <w:start w:val="1"/>
      <w:numFmt w:val="lowerLetter"/>
      <w:lvlText w:val="%8."/>
      <w:lvlJc w:val="left"/>
      <w:pPr>
        <w:ind w:left="5760" w:hanging="360"/>
      </w:pPr>
    </w:lvl>
    <w:lvl w:ilvl="8" w:tplc="8C9CC1E6">
      <w:start w:val="1"/>
      <w:numFmt w:val="lowerRoman"/>
      <w:lvlText w:val="%9."/>
      <w:lvlJc w:val="right"/>
      <w:pPr>
        <w:ind w:left="6480" w:hanging="180"/>
      </w:pPr>
    </w:lvl>
  </w:abstractNum>
  <w:abstractNum w:abstractNumId="18" w15:restartNumberingAfterBreak="0">
    <w:nsid w:val="32B03625"/>
    <w:multiLevelType w:val="hybridMultilevel"/>
    <w:tmpl w:val="FFFFFFFF"/>
    <w:lvl w:ilvl="0" w:tplc="D6341976">
      <w:start w:val="1"/>
      <w:numFmt w:val="upperRoman"/>
      <w:lvlText w:val="%1."/>
      <w:lvlJc w:val="right"/>
      <w:pPr>
        <w:ind w:left="720" w:hanging="360"/>
      </w:pPr>
    </w:lvl>
    <w:lvl w:ilvl="1" w:tplc="3A68186C">
      <w:start w:val="1"/>
      <w:numFmt w:val="lowerLetter"/>
      <w:lvlText w:val="%2."/>
      <w:lvlJc w:val="left"/>
      <w:pPr>
        <w:ind w:left="1440" w:hanging="360"/>
      </w:pPr>
    </w:lvl>
    <w:lvl w:ilvl="2" w:tplc="59AEC478">
      <w:start w:val="1"/>
      <w:numFmt w:val="lowerRoman"/>
      <w:lvlText w:val="%3."/>
      <w:lvlJc w:val="right"/>
      <w:pPr>
        <w:ind w:left="2160" w:hanging="180"/>
      </w:pPr>
    </w:lvl>
    <w:lvl w:ilvl="3" w:tplc="D25EF898">
      <w:start w:val="1"/>
      <w:numFmt w:val="decimal"/>
      <w:lvlText w:val="%4."/>
      <w:lvlJc w:val="left"/>
      <w:pPr>
        <w:ind w:left="2880" w:hanging="360"/>
      </w:pPr>
    </w:lvl>
    <w:lvl w:ilvl="4" w:tplc="9FD66E04">
      <w:start w:val="1"/>
      <w:numFmt w:val="lowerLetter"/>
      <w:lvlText w:val="%5."/>
      <w:lvlJc w:val="left"/>
      <w:pPr>
        <w:ind w:left="3600" w:hanging="360"/>
      </w:pPr>
    </w:lvl>
    <w:lvl w:ilvl="5" w:tplc="24508FC8">
      <w:start w:val="1"/>
      <w:numFmt w:val="lowerRoman"/>
      <w:lvlText w:val="%6."/>
      <w:lvlJc w:val="right"/>
      <w:pPr>
        <w:ind w:left="4320" w:hanging="180"/>
      </w:pPr>
    </w:lvl>
    <w:lvl w:ilvl="6" w:tplc="82300694">
      <w:start w:val="1"/>
      <w:numFmt w:val="decimal"/>
      <w:lvlText w:val="%7."/>
      <w:lvlJc w:val="left"/>
      <w:pPr>
        <w:ind w:left="5040" w:hanging="360"/>
      </w:pPr>
    </w:lvl>
    <w:lvl w:ilvl="7" w:tplc="DEF03972">
      <w:start w:val="1"/>
      <w:numFmt w:val="lowerLetter"/>
      <w:lvlText w:val="%8."/>
      <w:lvlJc w:val="left"/>
      <w:pPr>
        <w:ind w:left="5760" w:hanging="360"/>
      </w:pPr>
    </w:lvl>
    <w:lvl w:ilvl="8" w:tplc="39BEA18A">
      <w:start w:val="1"/>
      <w:numFmt w:val="lowerRoman"/>
      <w:lvlText w:val="%9."/>
      <w:lvlJc w:val="right"/>
      <w:pPr>
        <w:ind w:left="6480" w:hanging="180"/>
      </w:pPr>
    </w:lvl>
  </w:abstractNum>
  <w:abstractNum w:abstractNumId="19" w15:restartNumberingAfterBreak="0">
    <w:nsid w:val="333C45B1"/>
    <w:multiLevelType w:val="hybridMultilevel"/>
    <w:tmpl w:val="CBE0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A4F10"/>
    <w:multiLevelType w:val="hybridMultilevel"/>
    <w:tmpl w:val="B066A79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39117321"/>
    <w:multiLevelType w:val="hybridMultilevel"/>
    <w:tmpl w:val="33B4E46E"/>
    <w:lvl w:ilvl="0" w:tplc="DD8A8B04">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FB163790">
      <w:numFmt w:val="bullet"/>
      <w:lvlText w:val="-"/>
      <w:lvlJc w:val="left"/>
      <w:pPr>
        <w:ind w:left="2160" w:hanging="360"/>
      </w:pPr>
      <w:rPr>
        <w:rFonts w:ascii="Raleway" w:eastAsiaTheme="minorHAnsi" w:hAnsi="Raleway"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B76F90"/>
    <w:multiLevelType w:val="hybridMultilevel"/>
    <w:tmpl w:val="FFFFFFFF"/>
    <w:lvl w:ilvl="0" w:tplc="754A1EC2">
      <w:start w:val="1"/>
      <w:numFmt w:val="upperRoman"/>
      <w:lvlText w:val="%1."/>
      <w:lvlJc w:val="right"/>
      <w:pPr>
        <w:ind w:left="720" w:hanging="360"/>
      </w:pPr>
    </w:lvl>
    <w:lvl w:ilvl="1" w:tplc="3A842570">
      <w:start w:val="1"/>
      <w:numFmt w:val="lowerLetter"/>
      <w:lvlText w:val="%2."/>
      <w:lvlJc w:val="left"/>
      <w:pPr>
        <w:ind w:left="1440" w:hanging="360"/>
      </w:pPr>
    </w:lvl>
    <w:lvl w:ilvl="2" w:tplc="913A0BF4">
      <w:start w:val="1"/>
      <w:numFmt w:val="lowerRoman"/>
      <w:lvlText w:val="%3."/>
      <w:lvlJc w:val="right"/>
      <w:pPr>
        <w:ind w:left="2160" w:hanging="180"/>
      </w:pPr>
    </w:lvl>
    <w:lvl w:ilvl="3" w:tplc="15048CE2">
      <w:start w:val="1"/>
      <w:numFmt w:val="decimal"/>
      <w:lvlText w:val="%4."/>
      <w:lvlJc w:val="left"/>
      <w:pPr>
        <w:ind w:left="2880" w:hanging="360"/>
      </w:pPr>
    </w:lvl>
    <w:lvl w:ilvl="4" w:tplc="5D9A5B60">
      <w:start w:val="1"/>
      <w:numFmt w:val="lowerLetter"/>
      <w:lvlText w:val="%5."/>
      <w:lvlJc w:val="left"/>
      <w:pPr>
        <w:ind w:left="3600" w:hanging="360"/>
      </w:pPr>
    </w:lvl>
    <w:lvl w:ilvl="5" w:tplc="E162F3C4">
      <w:start w:val="1"/>
      <w:numFmt w:val="lowerRoman"/>
      <w:lvlText w:val="%6."/>
      <w:lvlJc w:val="right"/>
      <w:pPr>
        <w:ind w:left="4320" w:hanging="180"/>
      </w:pPr>
    </w:lvl>
    <w:lvl w:ilvl="6" w:tplc="667072B0">
      <w:start w:val="1"/>
      <w:numFmt w:val="decimal"/>
      <w:lvlText w:val="%7."/>
      <w:lvlJc w:val="left"/>
      <w:pPr>
        <w:ind w:left="5040" w:hanging="360"/>
      </w:pPr>
    </w:lvl>
    <w:lvl w:ilvl="7" w:tplc="5FC0CF9E">
      <w:start w:val="1"/>
      <w:numFmt w:val="lowerLetter"/>
      <w:lvlText w:val="%8."/>
      <w:lvlJc w:val="left"/>
      <w:pPr>
        <w:ind w:left="5760" w:hanging="360"/>
      </w:pPr>
    </w:lvl>
    <w:lvl w:ilvl="8" w:tplc="6364797C">
      <w:start w:val="1"/>
      <w:numFmt w:val="lowerRoman"/>
      <w:lvlText w:val="%9."/>
      <w:lvlJc w:val="right"/>
      <w:pPr>
        <w:ind w:left="6480" w:hanging="180"/>
      </w:pPr>
    </w:lvl>
  </w:abstractNum>
  <w:abstractNum w:abstractNumId="23" w15:restartNumberingAfterBreak="0">
    <w:nsid w:val="3C5B2DFD"/>
    <w:multiLevelType w:val="hybridMultilevel"/>
    <w:tmpl w:val="FFFFFFFF"/>
    <w:lvl w:ilvl="0" w:tplc="D8FCB9EA">
      <w:start w:val="1"/>
      <w:numFmt w:val="upperRoman"/>
      <w:lvlText w:val="%1."/>
      <w:lvlJc w:val="right"/>
      <w:pPr>
        <w:ind w:left="720" w:hanging="360"/>
      </w:pPr>
    </w:lvl>
    <w:lvl w:ilvl="1" w:tplc="D510558C">
      <w:start w:val="1"/>
      <w:numFmt w:val="lowerLetter"/>
      <w:lvlText w:val="%2."/>
      <w:lvlJc w:val="left"/>
      <w:pPr>
        <w:ind w:left="1440" w:hanging="360"/>
      </w:pPr>
    </w:lvl>
    <w:lvl w:ilvl="2" w:tplc="59CA0694">
      <w:start w:val="1"/>
      <w:numFmt w:val="lowerRoman"/>
      <w:lvlText w:val="%3."/>
      <w:lvlJc w:val="right"/>
      <w:pPr>
        <w:ind w:left="2160" w:hanging="180"/>
      </w:pPr>
    </w:lvl>
    <w:lvl w:ilvl="3" w:tplc="D2B03F04">
      <w:start w:val="1"/>
      <w:numFmt w:val="decimal"/>
      <w:lvlText w:val="%4."/>
      <w:lvlJc w:val="left"/>
      <w:pPr>
        <w:ind w:left="2880" w:hanging="360"/>
      </w:pPr>
    </w:lvl>
    <w:lvl w:ilvl="4" w:tplc="F710E5B6">
      <w:start w:val="1"/>
      <w:numFmt w:val="lowerLetter"/>
      <w:lvlText w:val="%5."/>
      <w:lvlJc w:val="left"/>
      <w:pPr>
        <w:ind w:left="3600" w:hanging="360"/>
      </w:pPr>
    </w:lvl>
    <w:lvl w:ilvl="5" w:tplc="2206AF4A">
      <w:start w:val="1"/>
      <w:numFmt w:val="lowerRoman"/>
      <w:lvlText w:val="%6."/>
      <w:lvlJc w:val="right"/>
      <w:pPr>
        <w:ind w:left="4320" w:hanging="180"/>
      </w:pPr>
    </w:lvl>
    <w:lvl w:ilvl="6" w:tplc="2AC2CB3C">
      <w:start w:val="1"/>
      <w:numFmt w:val="decimal"/>
      <w:lvlText w:val="%7."/>
      <w:lvlJc w:val="left"/>
      <w:pPr>
        <w:ind w:left="5040" w:hanging="360"/>
      </w:pPr>
    </w:lvl>
    <w:lvl w:ilvl="7" w:tplc="7B9CB506">
      <w:start w:val="1"/>
      <w:numFmt w:val="lowerLetter"/>
      <w:lvlText w:val="%8."/>
      <w:lvlJc w:val="left"/>
      <w:pPr>
        <w:ind w:left="5760" w:hanging="360"/>
      </w:pPr>
    </w:lvl>
    <w:lvl w:ilvl="8" w:tplc="1A20C5DE">
      <w:start w:val="1"/>
      <w:numFmt w:val="lowerRoman"/>
      <w:lvlText w:val="%9."/>
      <w:lvlJc w:val="right"/>
      <w:pPr>
        <w:ind w:left="6480" w:hanging="180"/>
      </w:pPr>
    </w:lvl>
  </w:abstractNum>
  <w:abstractNum w:abstractNumId="24" w15:restartNumberingAfterBreak="0">
    <w:nsid w:val="3DAA6492"/>
    <w:multiLevelType w:val="hybridMultilevel"/>
    <w:tmpl w:val="FFFFFFFF"/>
    <w:lvl w:ilvl="0" w:tplc="0662615A">
      <w:start w:val="1"/>
      <w:numFmt w:val="decimal"/>
      <w:lvlText w:val="%1."/>
      <w:lvlJc w:val="left"/>
      <w:pPr>
        <w:ind w:left="720" w:hanging="360"/>
      </w:pPr>
    </w:lvl>
    <w:lvl w:ilvl="1" w:tplc="2AE4F88A">
      <w:start w:val="1"/>
      <w:numFmt w:val="lowerLetter"/>
      <w:lvlText w:val="%2."/>
      <w:lvlJc w:val="left"/>
      <w:pPr>
        <w:ind w:left="1440" w:hanging="360"/>
      </w:pPr>
    </w:lvl>
    <w:lvl w:ilvl="2" w:tplc="6D42D88E">
      <w:start w:val="1"/>
      <w:numFmt w:val="lowerRoman"/>
      <w:lvlText w:val="%3."/>
      <w:lvlJc w:val="right"/>
      <w:pPr>
        <w:ind w:left="2160" w:hanging="180"/>
      </w:pPr>
    </w:lvl>
    <w:lvl w:ilvl="3" w:tplc="7F72DB02">
      <w:start w:val="1"/>
      <w:numFmt w:val="decimal"/>
      <w:lvlText w:val="%4."/>
      <w:lvlJc w:val="left"/>
      <w:pPr>
        <w:ind w:left="2880" w:hanging="360"/>
      </w:pPr>
    </w:lvl>
    <w:lvl w:ilvl="4" w:tplc="9DA0B1BE">
      <w:start w:val="1"/>
      <w:numFmt w:val="lowerLetter"/>
      <w:lvlText w:val="%5."/>
      <w:lvlJc w:val="left"/>
      <w:pPr>
        <w:ind w:left="3600" w:hanging="360"/>
      </w:pPr>
    </w:lvl>
    <w:lvl w:ilvl="5" w:tplc="7458E67C">
      <w:start w:val="1"/>
      <w:numFmt w:val="lowerRoman"/>
      <w:lvlText w:val="%6."/>
      <w:lvlJc w:val="right"/>
      <w:pPr>
        <w:ind w:left="4320" w:hanging="180"/>
      </w:pPr>
    </w:lvl>
    <w:lvl w:ilvl="6" w:tplc="A928FAA0">
      <w:start w:val="1"/>
      <w:numFmt w:val="decimal"/>
      <w:lvlText w:val="%7."/>
      <w:lvlJc w:val="left"/>
      <w:pPr>
        <w:ind w:left="5040" w:hanging="360"/>
      </w:pPr>
    </w:lvl>
    <w:lvl w:ilvl="7" w:tplc="6CB26A66">
      <w:start w:val="1"/>
      <w:numFmt w:val="lowerLetter"/>
      <w:lvlText w:val="%8."/>
      <w:lvlJc w:val="left"/>
      <w:pPr>
        <w:ind w:left="5760" w:hanging="360"/>
      </w:pPr>
    </w:lvl>
    <w:lvl w:ilvl="8" w:tplc="34C6F35E">
      <w:start w:val="1"/>
      <w:numFmt w:val="lowerRoman"/>
      <w:lvlText w:val="%9."/>
      <w:lvlJc w:val="right"/>
      <w:pPr>
        <w:ind w:left="6480" w:hanging="180"/>
      </w:pPr>
    </w:lvl>
  </w:abstractNum>
  <w:abstractNum w:abstractNumId="25" w15:restartNumberingAfterBreak="0">
    <w:nsid w:val="3E5E6193"/>
    <w:multiLevelType w:val="hybridMultilevel"/>
    <w:tmpl w:val="145A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943331"/>
    <w:multiLevelType w:val="hybridMultilevel"/>
    <w:tmpl w:val="18CCC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099642D"/>
    <w:multiLevelType w:val="hybridMultilevel"/>
    <w:tmpl w:val="FFFFFFFF"/>
    <w:lvl w:ilvl="0" w:tplc="B50E76F0">
      <w:start w:val="1"/>
      <w:numFmt w:val="upperRoman"/>
      <w:lvlText w:val="%1."/>
      <w:lvlJc w:val="right"/>
      <w:pPr>
        <w:ind w:left="720" w:hanging="360"/>
      </w:pPr>
    </w:lvl>
    <w:lvl w:ilvl="1" w:tplc="6B60AAAC">
      <w:start w:val="1"/>
      <w:numFmt w:val="lowerLetter"/>
      <w:lvlText w:val="%2."/>
      <w:lvlJc w:val="left"/>
      <w:pPr>
        <w:ind w:left="1440" w:hanging="360"/>
      </w:pPr>
    </w:lvl>
    <w:lvl w:ilvl="2" w:tplc="37DECE0A">
      <w:start w:val="1"/>
      <w:numFmt w:val="lowerRoman"/>
      <w:lvlText w:val="%3."/>
      <w:lvlJc w:val="right"/>
      <w:pPr>
        <w:ind w:left="2160" w:hanging="180"/>
      </w:pPr>
    </w:lvl>
    <w:lvl w:ilvl="3" w:tplc="E3FCC936">
      <w:start w:val="1"/>
      <w:numFmt w:val="decimal"/>
      <w:lvlText w:val="%4."/>
      <w:lvlJc w:val="left"/>
      <w:pPr>
        <w:ind w:left="2880" w:hanging="360"/>
      </w:pPr>
    </w:lvl>
    <w:lvl w:ilvl="4" w:tplc="BE4E3DC2">
      <w:start w:val="1"/>
      <w:numFmt w:val="lowerLetter"/>
      <w:lvlText w:val="%5."/>
      <w:lvlJc w:val="left"/>
      <w:pPr>
        <w:ind w:left="3600" w:hanging="360"/>
      </w:pPr>
    </w:lvl>
    <w:lvl w:ilvl="5" w:tplc="8C948C36">
      <w:start w:val="1"/>
      <w:numFmt w:val="lowerRoman"/>
      <w:lvlText w:val="%6."/>
      <w:lvlJc w:val="right"/>
      <w:pPr>
        <w:ind w:left="4320" w:hanging="180"/>
      </w:pPr>
    </w:lvl>
    <w:lvl w:ilvl="6" w:tplc="6B5AF838">
      <w:start w:val="1"/>
      <w:numFmt w:val="decimal"/>
      <w:lvlText w:val="%7."/>
      <w:lvlJc w:val="left"/>
      <w:pPr>
        <w:ind w:left="5040" w:hanging="360"/>
      </w:pPr>
    </w:lvl>
    <w:lvl w:ilvl="7" w:tplc="FD042C86">
      <w:start w:val="1"/>
      <w:numFmt w:val="lowerLetter"/>
      <w:lvlText w:val="%8."/>
      <w:lvlJc w:val="left"/>
      <w:pPr>
        <w:ind w:left="5760" w:hanging="360"/>
      </w:pPr>
    </w:lvl>
    <w:lvl w:ilvl="8" w:tplc="8A36DCC8">
      <w:start w:val="1"/>
      <w:numFmt w:val="lowerRoman"/>
      <w:lvlText w:val="%9."/>
      <w:lvlJc w:val="right"/>
      <w:pPr>
        <w:ind w:left="6480" w:hanging="180"/>
      </w:pPr>
    </w:lvl>
  </w:abstractNum>
  <w:abstractNum w:abstractNumId="28" w15:restartNumberingAfterBreak="0">
    <w:nsid w:val="42700E54"/>
    <w:multiLevelType w:val="hybridMultilevel"/>
    <w:tmpl w:val="FFFFFFFF"/>
    <w:lvl w:ilvl="0" w:tplc="C9EAACC0">
      <w:start w:val="1"/>
      <w:numFmt w:val="upperRoman"/>
      <w:lvlText w:val="%1."/>
      <w:lvlJc w:val="right"/>
      <w:pPr>
        <w:ind w:left="720" w:hanging="360"/>
      </w:pPr>
    </w:lvl>
    <w:lvl w:ilvl="1" w:tplc="B53AF856">
      <w:start w:val="1"/>
      <w:numFmt w:val="lowerLetter"/>
      <w:lvlText w:val="%2."/>
      <w:lvlJc w:val="left"/>
      <w:pPr>
        <w:ind w:left="1440" w:hanging="360"/>
      </w:pPr>
    </w:lvl>
    <w:lvl w:ilvl="2" w:tplc="C25A7C6A">
      <w:start w:val="1"/>
      <w:numFmt w:val="lowerRoman"/>
      <w:lvlText w:val="%3."/>
      <w:lvlJc w:val="right"/>
      <w:pPr>
        <w:ind w:left="2160" w:hanging="180"/>
      </w:pPr>
    </w:lvl>
    <w:lvl w:ilvl="3" w:tplc="67942DD8">
      <w:start w:val="1"/>
      <w:numFmt w:val="decimal"/>
      <w:lvlText w:val="%4."/>
      <w:lvlJc w:val="left"/>
      <w:pPr>
        <w:ind w:left="2880" w:hanging="360"/>
      </w:pPr>
    </w:lvl>
    <w:lvl w:ilvl="4" w:tplc="1D1860EC">
      <w:start w:val="1"/>
      <w:numFmt w:val="lowerLetter"/>
      <w:lvlText w:val="%5."/>
      <w:lvlJc w:val="left"/>
      <w:pPr>
        <w:ind w:left="3600" w:hanging="360"/>
      </w:pPr>
    </w:lvl>
    <w:lvl w:ilvl="5" w:tplc="D7D4A26A">
      <w:start w:val="1"/>
      <w:numFmt w:val="lowerRoman"/>
      <w:lvlText w:val="%6."/>
      <w:lvlJc w:val="right"/>
      <w:pPr>
        <w:ind w:left="4320" w:hanging="180"/>
      </w:pPr>
    </w:lvl>
    <w:lvl w:ilvl="6" w:tplc="57B2C3FA">
      <w:start w:val="1"/>
      <w:numFmt w:val="decimal"/>
      <w:lvlText w:val="%7."/>
      <w:lvlJc w:val="left"/>
      <w:pPr>
        <w:ind w:left="5040" w:hanging="360"/>
      </w:pPr>
    </w:lvl>
    <w:lvl w:ilvl="7" w:tplc="C76C32B6">
      <w:start w:val="1"/>
      <w:numFmt w:val="lowerLetter"/>
      <w:lvlText w:val="%8."/>
      <w:lvlJc w:val="left"/>
      <w:pPr>
        <w:ind w:left="5760" w:hanging="360"/>
      </w:pPr>
    </w:lvl>
    <w:lvl w:ilvl="8" w:tplc="BF90A116">
      <w:start w:val="1"/>
      <w:numFmt w:val="lowerRoman"/>
      <w:lvlText w:val="%9."/>
      <w:lvlJc w:val="right"/>
      <w:pPr>
        <w:ind w:left="6480" w:hanging="180"/>
      </w:pPr>
    </w:lvl>
  </w:abstractNum>
  <w:abstractNum w:abstractNumId="29" w15:restartNumberingAfterBreak="0">
    <w:nsid w:val="42E46093"/>
    <w:multiLevelType w:val="hybridMultilevel"/>
    <w:tmpl w:val="7584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622E8C"/>
    <w:multiLevelType w:val="hybridMultilevel"/>
    <w:tmpl w:val="CADA9C62"/>
    <w:lvl w:ilvl="0" w:tplc="CC92B7AC">
      <w:start w:val="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522239"/>
    <w:multiLevelType w:val="hybridMultilevel"/>
    <w:tmpl w:val="34B805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58D7C4A"/>
    <w:multiLevelType w:val="hybridMultilevel"/>
    <w:tmpl w:val="DEF4F724"/>
    <w:lvl w:ilvl="0" w:tplc="CC92B7AC">
      <w:start w:val="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D55ED6"/>
    <w:multiLevelType w:val="hybridMultilevel"/>
    <w:tmpl w:val="E99A5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574409"/>
    <w:multiLevelType w:val="hybridMultilevel"/>
    <w:tmpl w:val="9164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C968DF"/>
    <w:multiLevelType w:val="hybridMultilevel"/>
    <w:tmpl w:val="E3944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83488E"/>
    <w:multiLevelType w:val="hybridMultilevel"/>
    <w:tmpl w:val="FFFFFFFF"/>
    <w:lvl w:ilvl="0" w:tplc="6D8CEC46">
      <w:start w:val="1"/>
      <w:numFmt w:val="decimal"/>
      <w:lvlText w:val="%1."/>
      <w:lvlJc w:val="left"/>
      <w:pPr>
        <w:ind w:left="720" w:hanging="360"/>
      </w:pPr>
    </w:lvl>
    <w:lvl w:ilvl="1" w:tplc="CB30980A">
      <w:start w:val="1"/>
      <w:numFmt w:val="lowerLetter"/>
      <w:lvlText w:val="%2."/>
      <w:lvlJc w:val="left"/>
      <w:pPr>
        <w:ind w:left="1440" w:hanging="360"/>
      </w:pPr>
    </w:lvl>
    <w:lvl w:ilvl="2" w:tplc="2BBAFE2E">
      <w:start w:val="1"/>
      <w:numFmt w:val="lowerRoman"/>
      <w:lvlText w:val="%3."/>
      <w:lvlJc w:val="right"/>
      <w:pPr>
        <w:ind w:left="2160" w:hanging="180"/>
      </w:pPr>
    </w:lvl>
    <w:lvl w:ilvl="3" w:tplc="EBC45BA4">
      <w:start w:val="1"/>
      <w:numFmt w:val="decimal"/>
      <w:lvlText w:val="%4."/>
      <w:lvlJc w:val="left"/>
      <w:pPr>
        <w:ind w:left="2880" w:hanging="360"/>
      </w:pPr>
    </w:lvl>
    <w:lvl w:ilvl="4" w:tplc="2DE04380">
      <w:start w:val="1"/>
      <w:numFmt w:val="lowerLetter"/>
      <w:lvlText w:val="%5."/>
      <w:lvlJc w:val="left"/>
      <w:pPr>
        <w:ind w:left="3600" w:hanging="360"/>
      </w:pPr>
    </w:lvl>
    <w:lvl w:ilvl="5" w:tplc="FC804820">
      <w:start w:val="1"/>
      <w:numFmt w:val="lowerRoman"/>
      <w:lvlText w:val="%6."/>
      <w:lvlJc w:val="right"/>
      <w:pPr>
        <w:ind w:left="4320" w:hanging="180"/>
      </w:pPr>
    </w:lvl>
    <w:lvl w:ilvl="6" w:tplc="53FC573E">
      <w:start w:val="1"/>
      <w:numFmt w:val="decimal"/>
      <w:lvlText w:val="%7."/>
      <w:lvlJc w:val="left"/>
      <w:pPr>
        <w:ind w:left="5040" w:hanging="360"/>
      </w:pPr>
    </w:lvl>
    <w:lvl w:ilvl="7" w:tplc="6680AFD4">
      <w:start w:val="1"/>
      <w:numFmt w:val="lowerLetter"/>
      <w:lvlText w:val="%8."/>
      <w:lvlJc w:val="left"/>
      <w:pPr>
        <w:ind w:left="5760" w:hanging="360"/>
      </w:pPr>
    </w:lvl>
    <w:lvl w:ilvl="8" w:tplc="04C07EB8">
      <w:start w:val="1"/>
      <w:numFmt w:val="lowerRoman"/>
      <w:lvlText w:val="%9."/>
      <w:lvlJc w:val="right"/>
      <w:pPr>
        <w:ind w:left="6480" w:hanging="180"/>
      </w:pPr>
    </w:lvl>
  </w:abstractNum>
  <w:abstractNum w:abstractNumId="37" w15:restartNumberingAfterBreak="0">
    <w:nsid w:val="4EA258C5"/>
    <w:multiLevelType w:val="hybridMultilevel"/>
    <w:tmpl w:val="2DC40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077EDA"/>
    <w:multiLevelType w:val="hybridMultilevel"/>
    <w:tmpl w:val="FFFFFFFF"/>
    <w:lvl w:ilvl="0" w:tplc="8A205324">
      <w:start w:val="1"/>
      <w:numFmt w:val="upperRoman"/>
      <w:lvlText w:val="%1."/>
      <w:lvlJc w:val="right"/>
      <w:pPr>
        <w:ind w:left="720" w:hanging="360"/>
      </w:pPr>
    </w:lvl>
    <w:lvl w:ilvl="1" w:tplc="010A1CF4">
      <w:start w:val="1"/>
      <w:numFmt w:val="lowerLetter"/>
      <w:lvlText w:val="%2."/>
      <w:lvlJc w:val="left"/>
      <w:pPr>
        <w:ind w:left="1440" w:hanging="360"/>
      </w:pPr>
    </w:lvl>
    <w:lvl w:ilvl="2" w:tplc="2494A8F4">
      <w:start w:val="1"/>
      <w:numFmt w:val="lowerRoman"/>
      <w:lvlText w:val="%3."/>
      <w:lvlJc w:val="right"/>
      <w:pPr>
        <w:ind w:left="2160" w:hanging="180"/>
      </w:pPr>
    </w:lvl>
    <w:lvl w:ilvl="3" w:tplc="0C7422EC">
      <w:start w:val="1"/>
      <w:numFmt w:val="decimal"/>
      <w:lvlText w:val="%4."/>
      <w:lvlJc w:val="left"/>
      <w:pPr>
        <w:ind w:left="2880" w:hanging="360"/>
      </w:pPr>
    </w:lvl>
    <w:lvl w:ilvl="4" w:tplc="433A6422">
      <w:start w:val="1"/>
      <w:numFmt w:val="lowerLetter"/>
      <w:lvlText w:val="%5."/>
      <w:lvlJc w:val="left"/>
      <w:pPr>
        <w:ind w:left="3600" w:hanging="360"/>
      </w:pPr>
    </w:lvl>
    <w:lvl w:ilvl="5" w:tplc="0C52283A">
      <w:start w:val="1"/>
      <w:numFmt w:val="lowerRoman"/>
      <w:lvlText w:val="%6."/>
      <w:lvlJc w:val="right"/>
      <w:pPr>
        <w:ind w:left="4320" w:hanging="180"/>
      </w:pPr>
    </w:lvl>
    <w:lvl w:ilvl="6" w:tplc="9064E568">
      <w:start w:val="1"/>
      <w:numFmt w:val="decimal"/>
      <w:lvlText w:val="%7."/>
      <w:lvlJc w:val="left"/>
      <w:pPr>
        <w:ind w:left="5040" w:hanging="360"/>
      </w:pPr>
    </w:lvl>
    <w:lvl w:ilvl="7" w:tplc="7F9E4C7A">
      <w:start w:val="1"/>
      <w:numFmt w:val="lowerLetter"/>
      <w:lvlText w:val="%8."/>
      <w:lvlJc w:val="left"/>
      <w:pPr>
        <w:ind w:left="5760" w:hanging="360"/>
      </w:pPr>
    </w:lvl>
    <w:lvl w:ilvl="8" w:tplc="7908BD7A">
      <w:start w:val="1"/>
      <w:numFmt w:val="lowerRoman"/>
      <w:lvlText w:val="%9."/>
      <w:lvlJc w:val="right"/>
      <w:pPr>
        <w:ind w:left="6480" w:hanging="180"/>
      </w:pPr>
    </w:lvl>
  </w:abstractNum>
  <w:abstractNum w:abstractNumId="39" w15:restartNumberingAfterBreak="0">
    <w:nsid w:val="54E47C9D"/>
    <w:multiLevelType w:val="hybridMultilevel"/>
    <w:tmpl w:val="AF04B0F4"/>
    <w:lvl w:ilvl="0" w:tplc="DD8A8B04">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2D5BD4"/>
    <w:multiLevelType w:val="hybridMultilevel"/>
    <w:tmpl w:val="2648EE9E"/>
    <w:lvl w:ilvl="0" w:tplc="CC92B7AC">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D11D8C"/>
    <w:multiLevelType w:val="hybridMultilevel"/>
    <w:tmpl w:val="FFFFFFFF"/>
    <w:lvl w:ilvl="0" w:tplc="55A06E4A">
      <w:start w:val="1"/>
      <w:numFmt w:val="upperRoman"/>
      <w:lvlText w:val="%1."/>
      <w:lvlJc w:val="right"/>
      <w:pPr>
        <w:ind w:left="720" w:hanging="360"/>
      </w:pPr>
    </w:lvl>
    <w:lvl w:ilvl="1" w:tplc="9280E30A">
      <w:start w:val="1"/>
      <w:numFmt w:val="lowerLetter"/>
      <w:lvlText w:val="%2."/>
      <w:lvlJc w:val="left"/>
      <w:pPr>
        <w:ind w:left="1440" w:hanging="360"/>
      </w:pPr>
    </w:lvl>
    <w:lvl w:ilvl="2" w:tplc="87E25EBC">
      <w:start w:val="1"/>
      <w:numFmt w:val="lowerRoman"/>
      <w:lvlText w:val="%3."/>
      <w:lvlJc w:val="right"/>
      <w:pPr>
        <w:ind w:left="2160" w:hanging="180"/>
      </w:pPr>
    </w:lvl>
    <w:lvl w:ilvl="3" w:tplc="DE76CEB2">
      <w:start w:val="1"/>
      <w:numFmt w:val="decimal"/>
      <w:lvlText w:val="%4."/>
      <w:lvlJc w:val="left"/>
      <w:pPr>
        <w:ind w:left="2880" w:hanging="360"/>
      </w:pPr>
    </w:lvl>
    <w:lvl w:ilvl="4" w:tplc="10FAB490">
      <w:start w:val="1"/>
      <w:numFmt w:val="lowerLetter"/>
      <w:lvlText w:val="%5."/>
      <w:lvlJc w:val="left"/>
      <w:pPr>
        <w:ind w:left="3600" w:hanging="360"/>
      </w:pPr>
    </w:lvl>
    <w:lvl w:ilvl="5" w:tplc="99A86E04">
      <w:start w:val="1"/>
      <w:numFmt w:val="lowerRoman"/>
      <w:lvlText w:val="%6."/>
      <w:lvlJc w:val="right"/>
      <w:pPr>
        <w:ind w:left="4320" w:hanging="180"/>
      </w:pPr>
    </w:lvl>
    <w:lvl w:ilvl="6" w:tplc="236662EA">
      <w:start w:val="1"/>
      <w:numFmt w:val="decimal"/>
      <w:lvlText w:val="%7."/>
      <w:lvlJc w:val="left"/>
      <w:pPr>
        <w:ind w:left="5040" w:hanging="360"/>
      </w:pPr>
    </w:lvl>
    <w:lvl w:ilvl="7" w:tplc="16D4237C">
      <w:start w:val="1"/>
      <w:numFmt w:val="lowerLetter"/>
      <w:lvlText w:val="%8."/>
      <w:lvlJc w:val="left"/>
      <w:pPr>
        <w:ind w:left="5760" w:hanging="360"/>
      </w:pPr>
    </w:lvl>
    <w:lvl w:ilvl="8" w:tplc="92B6E960">
      <w:start w:val="1"/>
      <w:numFmt w:val="lowerRoman"/>
      <w:lvlText w:val="%9."/>
      <w:lvlJc w:val="right"/>
      <w:pPr>
        <w:ind w:left="6480" w:hanging="180"/>
      </w:pPr>
    </w:lvl>
  </w:abstractNum>
  <w:abstractNum w:abstractNumId="42" w15:restartNumberingAfterBreak="0">
    <w:nsid w:val="5D0C58AA"/>
    <w:multiLevelType w:val="hybridMultilevel"/>
    <w:tmpl w:val="8B608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0991B35"/>
    <w:multiLevelType w:val="hybridMultilevel"/>
    <w:tmpl w:val="100843BC"/>
    <w:lvl w:ilvl="0" w:tplc="CC92B7A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4A05A7"/>
    <w:multiLevelType w:val="hybridMultilevel"/>
    <w:tmpl w:val="FFFFFFFF"/>
    <w:lvl w:ilvl="0" w:tplc="EF9E1F04">
      <w:start w:val="1"/>
      <w:numFmt w:val="upperRoman"/>
      <w:lvlText w:val="%1."/>
      <w:lvlJc w:val="right"/>
      <w:pPr>
        <w:ind w:left="720" w:hanging="360"/>
      </w:pPr>
    </w:lvl>
    <w:lvl w:ilvl="1" w:tplc="6252596A">
      <w:start w:val="1"/>
      <w:numFmt w:val="lowerLetter"/>
      <w:lvlText w:val="%2."/>
      <w:lvlJc w:val="left"/>
      <w:pPr>
        <w:ind w:left="1440" w:hanging="360"/>
      </w:pPr>
    </w:lvl>
    <w:lvl w:ilvl="2" w:tplc="CF28D8D2">
      <w:start w:val="1"/>
      <w:numFmt w:val="lowerRoman"/>
      <w:lvlText w:val="%3."/>
      <w:lvlJc w:val="right"/>
      <w:pPr>
        <w:ind w:left="2160" w:hanging="180"/>
      </w:pPr>
    </w:lvl>
    <w:lvl w:ilvl="3" w:tplc="9C76BFE2">
      <w:start w:val="1"/>
      <w:numFmt w:val="decimal"/>
      <w:lvlText w:val="%4."/>
      <w:lvlJc w:val="left"/>
      <w:pPr>
        <w:ind w:left="2880" w:hanging="360"/>
      </w:pPr>
    </w:lvl>
    <w:lvl w:ilvl="4" w:tplc="F1366238">
      <w:start w:val="1"/>
      <w:numFmt w:val="lowerLetter"/>
      <w:lvlText w:val="%5."/>
      <w:lvlJc w:val="left"/>
      <w:pPr>
        <w:ind w:left="3600" w:hanging="360"/>
      </w:pPr>
    </w:lvl>
    <w:lvl w:ilvl="5" w:tplc="736A1BBE">
      <w:start w:val="1"/>
      <w:numFmt w:val="lowerRoman"/>
      <w:lvlText w:val="%6."/>
      <w:lvlJc w:val="right"/>
      <w:pPr>
        <w:ind w:left="4320" w:hanging="180"/>
      </w:pPr>
    </w:lvl>
    <w:lvl w:ilvl="6" w:tplc="A38CC0F2">
      <w:start w:val="1"/>
      <w:numFmt w:val="decimal"/>
      <w:lvlText w:val="%7."/>
      <w:lvlJc w:val="left"/>
      <w:pPr>
        <w:ind w:left="5040" w:hanging="360"/>
      </w:pPr>
    </w:lvl>
    <w:lvl w:ilvl="7" w:tplc="B442C336">
      <w:start w:val="1"/>
      <w:numFmt w:val="lowerLetter"/>
      <w:lvlText w:val="%8."/>
      <w:lvlJc w:val="left"/>
      <w:pPr>
        <w:ind w:left="5760" w:hanging="360"/>
      </w:pPr>
    </w:lvl>
    <w:lvl w:ilvl="8" w:tplc="A3FA4714">
      <w:start w:val="1"/>
      <w:numFmt w:val="lowerRoman"/>
      <w:lvlText w:val="%9."/>
      <w:lvlJc w:val="right"/>
      <w:pPr>
        <w:ind w:left="6480" w:hanging="180"/>
      </w:pPr>
    </w:lvl>
  </w:abstractNum>
  <w:abstractNum w:abstractNumId="45" w15:restartNumberingAfterBreak="0">
    <w:nsid w:val="67130E24"/>
    <w:multiLevelType w:val="hybridMultilevel"/>
    <w:tmpl w:val="FFFFFFFF"/>
    <w:lvl w:ilvl="0" w:tplc="58FEA4A2">
      <w:start w:val="1"/>
      <w:numFmt w:val="upperRoman"/>
      <w:lvlText w:val="%1."/>
      <w:lvlJc w:val="right"/>
      <w:pPr>
        <w:ind w:left="720" w:hanging="360"/>
      </w:pPr>
    </w:lvl>
    <w:lvl w:ilvl="1" w:tplc="8EA24B2E">
      <w:start w:val="1"/>
      <w:numFmt w:val="lowerLetter"/>
      <w:lvlText w:val="%2."/>
      <w:lvlJc w:val="left"/>
      <w:pPr>
        <w:ind w:left="1440" w:hanging="360"/>
      </w:pPr>
    </w:lvl>
    <w:lvl w:ilvl="2" w:tplc="7772E32C">
      <w:start w:val="1"/>
      <w:numFmt w:val="lowerRoman"/>
      <w:lvlText w:val="%3."/>
      <w:lvlJc w:val="right"/>
      <w:pPr>
        <w:ind w:left="2160" w:hanging="180"/>
      </w:pPr>
    </w:lvl>
    <w:lvl w:ilvl="3" w:tplc="C7BE6328">
      <w:start w:val="1"/>
      <w:numFmt w:val="decimal"/>
      <w:lvlText w:val="%4."/>
      <w:lvlJc w:val="left"/>
      <w:pPr>
        <w:ind w:left="2880" w:hanging="360"/>
      </w:pPr>
    </w:lvl>
    <w:lvl w:ilvl="4" w:tplc="91A88604">
      <w:start w:val="1"/>
      <w:numFmt w:val="lowerLetter"/>
      <w:lvlText w:val="%5."/>
      <w:lvlJc w:val="left"/>
      <w:pPr>
        <w:ind w:left="3600" w:hanging="360"/>
      </w:pPr>
    </w:lvl>
    <w:lvl w:ilvl="5" w:tplc="E24AB7CA">
      <w:start w:val="1"/>
      <w:numFmt w:val="lowerRoman"/>
      <w:lvlText w:val="%6."/>
      <w:lvlJc w:val="right"/>
      <w:pPr>
        <w:ind w:left="4320" w:hanging="180"/>
      </w:pPr>
    </w:lvl>
    <w:lvl w:ilvl="6" w:tplc="77DCA144">
      <w:start w:val="1"/>
      <w:numFmt w:val="decimal"/>
      <w:lvlText w:val="%7."/>
      <w:lvlJc w:val="left"/>
      <w:pPr>
        <w:ind w:left="5040" w:hanging="360"/>
      </w:pPr>
    </w:lvl>
    <w:lvl w:ilvl="7" w:tplc="4C887BBE">
      <w:start w:val="1"/>
      <w:numFmt w:val="lowerLetter"/>
      <w:lvlText w:val="%8."/>
      <w:lvlJc w:val="left"/>
      <w:pPr>
        <w:ind w:left="5760" w:hanging="360"/>
      </w:pPr>
    </w:lvl>
    <w:lvl w:ilvl="8" w:tplc="BF98E5FE">
      <w:start w:val="1"/>
      <w:numFmt w:val="lowerRoman"/>
      <w:lvlText w:val="%9."/>
      <w:lvlJc w:val="right"/>
      <w:pPr>
        <w:ind w:left="6480" w:hanging="180"/>
      </w:pPr>
    </w:lvl>
  </w:abstractNum>
  <w:abstractNum w:abstractNumId="46" w15:restartNumberingAfterBreak="0">
    <w:nsid w:val="69D55680"/>
    <w:multiLevelType w:val="hybridMultilevel"/>
    <w:tmpl w:val="53CC2838"/>
    <w:lvl w:ilvl="0" w:tplc="CC92B7AC">
      <w:start w:val="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1E229A"/>
    <w:multiLevelType w:val="hybridMultilevel"/>
    <w:tmpl w:val="FFFFFFFF"/>
    <w:lvl w:ilvl="0" w:tplc="5D32D434">
      <w:start w:val="1"/>
      <w:numFmt w:val="upperRoman"/>
      <w:lvlText w:val="%1."/>
      <w:lvlJc w:val="right"/>
      <w:pPr>
        <w:ind w:left="720" w:hanging="360"/>
      </w:pPr>
    </w:lvl>
    <w:lvl w:ilvl="1" w:tplc="630EA5C4">
      <w:start w:val="1"/>
      <w:numFmt w:val="lowerLetter"/>
      <w:lvlText w:val="%2."/>
      <w:lvlJc w:val="left"/>
      <w:pPr>
        <w:ind w:left="1440" w:hanging="360"/>
      </w:pPr>
    </w:lvl>
    <w:lvl w:ilvl="2" w:tplc="E498211C">
      <w:start w:val="1"/>
      <w:numFmt w:val="lowerRoman"/>
      <w:lvlText w:val="%3."/>
      <w:lvlJc w:val="right"/>
      <w:pPr>
        <w:ind w:left="2160" w:hanging="180"/>
      </w:pPr>
    </w:lvl>
    <w:lvl w:ilvl="3" w:tplc="7ACA0072">
      <w:start w:val="1"/>
      <w:numFmt w:val="decimal"/>
      <w:lvlText w:val="%4."/>
      <w:lvlJc w:val="left"/>
      <w:pPr>
        <w:ind w:left="2880" w:hanging="360"/>
      </w:pPr>
    </w:lvl>
    <w:lvl w:ilvl="4" w:tplc="514C287E">
      <w:start w:val="1"/>
      <w:numFmt w:val="lowerLetter"/>
      <w:lvlText w:val="%5."/>
      <w:lvlJc w:val="left"/>
      <w:pPr>
        <w:ind w:left="3600" w:hanging="360"/>
      </w:pPr>
    </w:lvl>
    <w:lvl w:ilvl="5" w:tplc="BBFAF898">
      <w:start w:val="1"/>
      <w:numFmt w:val="lowerRoman"/>
      <w:lvlText w:val="%6."/>
      <w:lvlJc w:val="right"/>
      <w:pPr>
        <w:ind w:left="4320" w:hanging="180"/>
      </w:pPr>
    </w:lvl>
    <w:lvl w:ilvl="6" w:tplc="91D2B5F6">
      <w:start w:val="1"/>
      <w:numFmt w:val="decimal"/>
      <w:lvlText w:val="%7."/>
      <w:lvlJc w:val="left"/>
      <w:pPr>
        <w:ind w:left="5040" w:hanging="360"/>
      </w:pPr>
    </w:lvl>
    <w:lvl w:ilvl="7" w:tplc="3D22A13C">
      <w:start w:val="1"/>
      <w:numFmt w:val="lowerLetter"/>
      <w:lvlText w:val="%8."/>
      <w:lvlJc w:val="left"/>
      <w:pPr>
        <w:ind w:left="5760" w:hanging="360"/>
      </w:pPr>
    </w:lvl>
    <w:lvl w:ilvl="8" w:tplc="F5103300">
      <w:start w:val="1"/>
      <w:numFmt w:val="lowerRoman"/>
      <w:lvlText w:val="%9."/>
      <w:lvlJc w:val="right"/>
      <w:pPr>
        <w:ind w:left="6480" w:hanging="180"/>
      </w:pPr>
    </w:lvl>
  </w:abstractNum>
  <w:abstractNum w:abstractNumId="48" w15:restartNumberingAfterBreak="0">
    <w:nsid w:val="6C622DD5"/>
    <w:multiLevelType w:val="hybridMultilevel"/>
    <w:tmpl w:val="FFFFFFFF"/>
    <w:lvl w:ilvl="0" w:tplc="19BEF10C">
      <w:start w:val="1"/>
      <w:numFmt w:val="upperRoman"/>
      <w:lvlText w:val="%1."/>
      <w:lvlJc w:val="right"/>
      <w:pPr>
        <w:ind w:left="720" w:hanging="360"/>
      </w:pPr>
    </w:lvl>
    <w:lvl w:ilvl="1" w:tplc="F6EC7346">
      <w:start w:val="1"/>
      <w:numFmt w:val="lowerLetter"/>
      <w:lvlText w:val="%2."/>
      <w:lvlJc w:val="left"/>
      <w:pPr>
        <w:ind w:left="1440" w:hanging="360"/>
      </w:pPr>
    </w:lvl>
    <w:lvl w:ilvl="2" w:tplc="E1BC928E">
      <w:start w:val="1"/>
      <w:numFmt w:val="lowerRoman"/>
      <w:lvlText w:val="%3."/>
      <w:lvlJc w:val="right"/>
      <w:pPr>
        <w:ind w:left="2160" w:hanging="180"/>
      </w:pPr>
    </w:lvl>
    <w:lvl w:ilvl="3" w:tplc="B792DE1A">
      <w:start w:val="1"/>
      <w:numFmt w:val="decimal"/>
      <w:lvlText w:val="%4."/>
      <w:lvlJc w:val="left"/>
      <w:pPr>
        <w:ind w:left="2880" w:hanging="360"/>
      </w:pPr>
    </w:lvl>
    <w:lvl w:ilvl="4" w:tplc="4A0056AE">
      <w:start w:val="1"/>
      <w:numFmt w:val="lowerLetter"/>
      <w:lvlText w:val="%5."/>
      <w:lvlJc w:val="left"/>
      <w:pPr>
        <w:ind w:left="3600" w:hanging="360"/>
      </w:pPr>
    </w:lvl>
    <w:lvl w:ilvl="5" w:tplc="E4FE699E">
      <w:start w:val="1"/>
      <w:numFmt w:val="lowerRoman"/>
      <w:lvlText w:val="%6."/>
      <w:lvlJc w:val="right"/>
      <w:pPr>
        <w:ind w:left="4320" w:hanging="180"/>
      </w:pPr>
    </w:lvl>
    <w:lvl w:ilvl="6" w:tplc="45845978">
      <w:start w:val="1"/>
      <w:numFmt w:val="decimal"/>
      <w:lvlText w:val="%7."/>
      <w:lvlJc w:val="left"/>
      <w:pPr>
        <w:ind w:left="5040" w:hanging="360"/>
      </w:pPr>
    </w:lvl>
    <w:lvl w:ilvl="7" w:tplc="CCEADA3A">
      <w:start w:val="1"/>
      <w:numFmt w:val="lowerLetter"/>
      <w:lvlText w:val="%8."/>
      <w:lvlJc w:val="left"/>
      <w:pPr>
        <w:ind w:left="5760" w:hanging="360"/>
      </w:pPr>
    </w:lvl>
    <w:lvl w:ilvl="8" w:tplc="876E1D7C">
      <w:start w:val="1"/>
      <w:numFmt w:val="lowerRoman"/>
      <w:lvlText w:val="%9."/>
      <w:lvlJc w:val="right"/>
      <w:pPr>
        <w:ind w:left="6480" w:hanging="180"/>
      </w:pPr>
    </w:lvl>
  </w:abstractNum>
  <w:abstractNum w:abstractNumId="49" w15:restartNumberingAfterBreak="0">
    <w:nsid w:val="6D7028B9"/>
    <w:multiLevelType w:val="hybridMultilevel"/>
    <w:tmpl w:val="F3F6EF8A"/>
    <w:lvl w:ilvl="0" w:tplc="DD8A8B0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F754EE"/>
    <w:multiLevelType w:val="hybridMultilevel"/>
    <w:tmpl w:val="FC889BF0"/>
    <w:lvl w:ilvl="0" w:tplc="CC92B7AC">
      <w:start w:val="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F583F94"/>
    <w:multiLevelType w:val="hybridMultilevel"/>
    <w:tmpl w:val="FFFFFFFF"/>
    <w:lvl w:ilvl="0" w:tplc="8DFEE80C">
      <w:start w:val="1"/>
      <w:numFmt w:val="upperRoman"/>
      <w:lvlText w:val="%1."/>
      <w:lvlJc w:val="right"/>
      <w:pPr>
        <w:ind w:left="720" w:hanging="360"/>
      </w:pPr>
    </w:lvl>
    <w:lvl w:ilvl="1" w:tplc="ACDC27C2">
      <w:start w:val="1"/>
      <w:numFmt w:val="lowerLetter"/>
      <w:lvlText w:val="%2."/>
      <w:lvlJc w:val="left"/>
      <w:pPr>
        <w:ind w:left="1440" w:hanging="360"/>
      </w:pPr>
    </w:lvl>
    <w:lvl w:ilvl="2" w:tplc="C9C64752">
      <w:start w:val="1"/>
      <w:numFmt w:val="lowerRoman"/>
      <w:lvlText w:val="%3."/>
      <w:lvlJc w:val="right"/>
      <w:pPr>
        <w:ind w:left="2160" w:hanging="180"/>
      </w:pPr>
    </w:lvl>
    <w:lvl w:ilvl="3" w:tplc="911E9328">
      <w:start w:val="1"/>
      <w:numFmt w:val="decimal"/>
      <w:lvlText w:val="%4."/>
      <w:lvlJc w:val="left"/>
      <w:pPr>
        <w:ind w:left="2880" w:hanging="360"/>
      </w:pPr>
    </w:lvl>
    <w:lvl w:ilvl="4" w:tplc="CE44C3EA">
      <w:start w:val="1"/>
      <w:numFmt w:val="lowerLetter"/>
      <w:lvlText w:val="%5."/>
      <w:lvlJc w:val="left"/>
      <w:pPr>
        <w:ind w:left="3600" w:hanging="360"/>
      </w:pPr>
    </w:lvl>
    <w:lvl w:ilvl="5" w:tplc="7FC06FA8">
      <w:start w:val="1"/>
      <w:numFmt w:val="lowerRoman"/>
      <w:lvlText w:val="%6."/>
      <w:lvlJc w:val="right"/>
      <w:pPr>
        <w:ind w:left="4320" w:hanging="180"/>
      </w:pPr>
    </w:lvl>
    <w:lvl w:ilvl="6" w:tplc="FD84702E">
      <w:start w:val="1"/>
      <w:numFmt w:val="decimal"/>
      <w:lvlText w:val="%7."/>
      <w:lvlJc w:val="left"/>
      <w:pPr>
        <w:ind w:left="5040" w:hanging="360"/>
      </w:pPr>
    </w:lvl>
    <w:lvl w:ilvl="7" w:tplc="EFEE2EF2">
      <w:start w:val="1"/>
      <w:numFmt w:val="lowerLetter"/>
      <w:lvlText w:val="%8."/>
      <w:lvlJc w:val="left"/>
      <w:pPr>
        <w:ind w:left="5760" w:hanging="360"/>
      </w:pPr>
    </w:lvl>
    <w:lvl w:ilvl="8" w:tplc="609EE9EE">
      <w:start w:val="1"/>
      <w:numFmt w:val="lowerRoman"/>
      <w:lvlText w:val="%9."/>
      <w:lvlJc w:val="right"/>
      <w:pPr>
        <w:ind w:left="6480" w:hanging="180"/>
      </w:pPr>
    </w:lvl>
  </w:abstractNum>
  <w:abstractNum w:abstractNumId="52" w15:restartNumberingAfterBreak="0">
    <w:nsid w:val="70B75B5E"/>
    <w:multiLevelType w:val="hybridMultilevel"/>
    <w:tmpl w:val="C880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BC24E0"/>
    <w:multiLevelType w:val="hybridMultilevel"/>
    <w:tmpl w:val="D09A2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1BD3306"/>
    <w:multiLevelType w:val="hybridMultilevel"/>
    <w:tmpl w:val="FFFFFFFF"/>
    <w:lvl w:ilvl="0" w:tplc="4FA6159A">
      <w:start w:val="1"/>
      <w:numFmt w:val="upperRoman"/>
      <w:lvlText w:val="%1."/>
      <w:lvlJc w:val="right"/>
      <w:pPr>
        <w:ind w:left="720" w:hanging="360"/>
      </w:pPr>
    </w:lvl>
    <w:lvl w:ilvl="1" w:tplc="01F68A8E">
      <w:start w:val="1"/>
      <w:numFmt w:val="lowerLetter"/>
      <w:lvlText w:val="%2."/>
      <w:lvlJc w:val="left"/>
      <w:pPr>
        <w:ind w:left="1440" w:hanging="360"/>
      </w:pPr>
    </w:lvl>
    <w:lvl w:ilvl="2" w:tplc="D3FCEA86">
      <w:start w:val="1"/>
      <w:numFmt w:val="lowerRoman"/>
      <w:lvlText w:val="%3."/>
      <w:lvlJc w:val="right"/>
      <w:pPr>
        <w:ind w:left="2160" w:hanging="180"/>
      </w:pPr>
    </w:lvl>
    <w:lvl w:ilvl="3" w:tplc="945C22B8">
      <w:start w:val="1"/>
      <w:numFmt w:val="decimal"/>
      <w:lvlText w:val="%4."/>
      <w:lvlJc w:val="left"/>
      <w:pPr>
        <w:ind w:left="2880" w:hanging="360"/>
      </w:pPr>
    </w:lvl>
    <w:lvl w:ilvl="4" w:tplc="5E928B48">
      <w:start w:val="1"/>
      <w:numFmt w:val="lowerLetter"/>
      <w:lvlText w:val="%5."/>
      <w:lvlJc w:val="left"/>
      <w:pPr>
        <w:ind w:left="3600" w:hanging="360"/>
      </w:pPr>
    </w:lvl>
    <w:lvl w:ilvl="5" w:tplc="B3B6BEE0">
      <w:start w:val="1"/>
      <w:numFmt w:val="lowerRoman"/>
      <w:lvlText w:val="%6."/>
      <w:lvlJc w:val="right"/>
      <w:pPr>
        <w:ind w:left="4320" w:hanging="180"/>
      </w:pPr>
    </w:lvl>
    <w:lvl w:ilvl="6" w:tplc="32381C62">
      <w:start w:val="1"/>
      <w:numFmt w:val="decimal"/>
      <w:lvlText w:val="%7."/>
      <w:lvlJc w:val="left"/>
      <w:pPr>
        <w:ind w:left="5040" w:hanging="360"/>
      </w:pPr>
    </w:lvl>
    <w:lvl w:ilvl="7" w:tplc="6240C70E">
      <w:start w:val="1"/>
      <w:numFmt w:val="lowerLetter"/>
      <w:lvlText w:val="%8."/>
      <w:lvlJc w:val="left"/>
      <w:pPr>
        <w:ind w:left="5760" w:hanging="360"/>
      </w:pPr>
    </w:lvl>
    <w:lvl w:ilvl="8" w:tplc="FFB0C9CA">
      <w:start w:val="1"/>
      <w:numFmt w:val="lowerRoman"/>
      <w:lvlText w:val="%9."/>
      <w:lvlJc w:val="right"/>
      <w:pPr>
        <w:ind w:left="6480" w:hanging="180"/>
      </w:pPr>
    </w:lvl>
  </w:abstractNum>
  <w:abstractNum w:abstractNumId="55" w15:restartNumberingAfterBreak="0">
    <w:nsid w:val="727417A3"/>
    <w:multiLevelType w:val="hybridMultilevel"/>
    <w:tmpl w:val="FFFFFFFF"/>
    <w:lvl w:ilvl="0" w:tplc="00D42BAE">
      <w:start w:val="1"/>
      <w:numFmt w:val="decimal"/>
      <w:lvlText w:val="%1."/>
      <w:lvlJc w:val="left"/>
      <w:pPr>
        <w:ind w:left="720" w:hanging="360"/>
      </w:pPr>
    </w:lvl>
    <w:lvl w:ilvl="1" w:tplc="400680F0">
      <w:start w:val="1"/>
      <w:numFmt w:val="lowerLetter"/>
      <w:lvlText w:val="%2."/>
      <w:lvlJc w:val="left"/>
      <w:pPr>
        <w:ind w:left="1440" w:hanging="360"/>
      </w:pPr>
    </w:lvl>
    <w:lvl w:ilvl="2" w:tplc="ED3E0C0E">
      <w:start w:val="1"/>
      <w:numFmt w:val="lowerRoman"/>
      <w:lvlText w:val="%3."/>
      <w:lvlJc w:val="right"/>
      <w:pPr>
        <w:ind w:left="2160" w:hanging="180"/>
      </w:pPr>
    </w:lvl>
    <w:lvl w:ilvl="3" w:tplc="D97E500C">
      <w:start w:val="1"/>
      <w:numFmt w:val="decimal"/>
      <w:lvlText w:val="%4."/>
      <w:lvlJc w:val="left"/>
      <w:pPr>
        <w:ind w:left="2880" w:hanging="360"/>
      </w:pPr>
    </w:lvl>
    <w:lvl w:ilvl="4" w:tplc="5818E48A">
      <w:start w:val="1"/>
      <w:numFmt w:val="lowerLetter"/>
      <w:lvlText w:val="%5."/>
      <w:lvlJc w:val="left"/>
      <w:pPr>
        <w:ind w:left="3600" w:hanging="360"/>
      </w:pPr>
    </w:lvl>
    <w:lvl w:ilvl="5" w:tplc="104EE232">
      <w:start w:val="1"/>
      <w:numFmt w:val="lowerRoman"/>
      <w:lvlText w:val="%6."/>
      <w:lvlJc w:val="right"/>
      <w:pPr>
        <w:ind w:left="4320" w:hanging="180"/>
      </w:pPr>
    </w:lvl>
    <w:lvl w:ilvl="6" w:tplc="2CE6CAF6">
      <w:start w:val="1"/>
      <w:numFmt w:val="decimal"/>
      <w:lvlText w:val="%7."/>
      <w:lvlJc w:val="left"/>
      <w:pPr>
        <w:ind w:left="5040" w:hanging="360"/>
      </w:pPr>
    </w:lvl>
    <w:lvl w:ilvl="7" w:tplc="FC46BF0C">
      <w:start w:val="1"/>
      <w:numFmt w:val="lowerLetter"/>
      <w:lvlText w:val="%8."/>
      <w:lvlJc w:val="left"/>
      <w:pPr>
        <w:ind w:left="5760" w:hanging="360"/>
      </w:pPr>
    </w:lvl>
    <w:lvl w:ilvl="8" w:tplc="CABAE244">
      <w:start w:val="1"/>
      <w:numFmt w:val="lowerRoman"/>
      <w:lvlText w:val="%9."/>
      <w:lvlJc w:val="right"/>
      <w:pPr>
        <w:ind w:left="6480" w:hanging="180"/>
      </w:pPr>
    </w:lvl>
  </w:abstractNum>
  <w:abstractNum w:abstractNumId="56" w15:restartNumberingAfterBreak="0">
    <w:nsid w:val="728C28FC"/>
    <w:multiLevelType w:val="hybridMultilevel"/>
    <w:tmpl w:val="FFFFFFFF"/>
    <w:lvl w:ilvl="0" w:tplc="2292B27C">
      <w:start w:val="1"/>
      <w:numFmt w:val="upperRoman"/>
      <w:lvlText w:val="%1."/>
      <w:lvlJc w:val="right"/>
      <w:pPr>
        <w:ind w:left="720" w:hanging="360"/>
      </w:pPr>
    </w:lvl>
    <w:lvl w:ilvl="1" w:tplc="BF42BDF6">
      <w:start w:val="1"/>
      <w:numFmt w:val="lowerLetter"/>
      <w:lvlText w:val="%2."/>
      <w:lvlJc w:val="left"/>
      <w:pPr>
        <w:ind w:left="1440" w:hanging="360"/>
      </w:pPr>
    </w:lvl>
    <w:lvl w:ilvl="2" w:tplc="381CD876">
      <w:start w:val="1"/>
      <w:numFmt w:val="lowerRoman"/>
      <w:lvlText w:val="%3."/>
      <w:lvlJc w:val="right"/>
      <w:pPr>
        <w:ind w:left="2160" w:hanging="180"/>
      </w:pPr>
    </w:lvl>
    <w:lvl w:ilvl="3" w:tplc="CD7EDF82">
      <w:start w:val="1"/>
      <w:numFmt w:val="decimal"/>
      <w:lvlText w:val="%4."/>
      <w:lvlJc w:val="left"/>
      <w:pPr>
        <w:ind w:left="2880" w:hanging="360"/>
      </w:pPr>
    </w:lvl>
    <w:lvl w:ilvl="4" w:tplc="0776B12A">
      <w:start w:val="1"/>
      <w:numFmt w:val="lowerLetter"/>
      <w:lvlText w:val="%5."/>
      <w:lvlJc w:val="left"/>
      <w:pPr>
        <w:ind w:left="3600" w:hanging="360"/>
      </w:pPr>
    </w:lvl>
    <w:lvl w:ilvl="5" w:tplc="04720990">
      <w:start w:val="1"/>
      <w:numFmt w:val="lowerRoman"/>
      <w:lvlText w:val="%6."/>
      <w:lvlJc w:val="right"/>
      <w:pPr>
        <w:ind w:left="4320" w:hanging="180"/>
      </w:pPr>
    </w:lvl>
    <w:lvl w:ilvl="6" w:tplc="36467846">
      <w:start w:val="1"/>
      <w:numFmt w:val="decimal"/>
      <w:lvlText w:val="%7."/>
      <w:lvlJc w:val="left"/>
      <w:pPr>
        <w:ind w:left="5040" w:hanging="360"/>
      </w:pPr>
    </w:lvl>
    <w:lvl w:ilvl="7" w:tplc="A0544D4A">
      <w:start w:val="1"/>
      <w:numFmt w:val="lowerLetter"/>
      <w:lvlText w:val="%8."/>
      <w:lvlJc w:val="left"/>
      <w:pPr>
        <w:ind w:left="5760" w:hanging="360"/>
      </w:pPr>
    </w:lvl>
    <w:lvl w:ilvl="8" w:tplc="7990EE52">
      <w:start w:val="1"/>
      <w:numFmt w:val="lowerRoman"/>
      <w:lvlText w:val="%9."/>
      <w:lvlJc w:val="right"/>
      <w:pPr>
        <w:ind w:left="6480" w:hanging="180"/>
      </w:pPr>
    </w:lvl>
  </w:abstractNum>
  <w:abstractNum w:abstractNumId="57" w15:restartNumberingAfterBreak="0">
    <w:nsid w:val="74610689"/>
    <w:multiLevelType w:val="hybridMultilevel"/>
    <w:tmpl w:val="E26ABCD4"/>
    <w:lvl w:ilvl="0" w:tplc="CC92B7AC">
      <w:start w:val="2"/>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4756C0B"/>
    <w:multiLevelType w:val="hybridMultilevel"/>
    <w:tmpl w:val="21865AB6"/>
    <w:lvl w:ilvl="0" w:tplc="527CAEE0">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50343B4"/>
    <w:multiLevelType w:val="hybridMultilevel"/>
    <w:tmpl w:val="2674892E"/>
    <w:lvl w:ilvl="0" w:tplc="CC92B7AC">
      <w:start w:val="2"/>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753C551E"/>
    <w:multiLevelType w:val="hybridMultilevel"/>
    <w:tmpl w:val="FFFFFFFF"/>
    <w:lvl w:ilvl="0" w:tplc="71A430FE">
      <w:start w:val="1"/>
      <w:numFmt w:val="decimal"/>
      <w:lvlText w:val="%1."/>
      <w:lvlJc w:val="left"/>
      <w:pPr>
        <w:ind w:left="720" w:hanging="360"/>
      </w:pPr>
    </w:lvl>
    <w:lvl w:ilvl="1" w:tplc="DFE63A94">
      <w:start w:val="1"/>
      <w:numFmt w:val="lowerLetter"/>
      <w:lvlText w:val="%2."/>
      <w:lvlJc w:val="left"/>
      <w:pPr>
        <w:ind w:left="1440" w:hanging="360"/>
      </w:pPr>
    </w:lvl>
    <w:lvl w:ilvl="2" w:tplc="A3849426">
      <w:start w:val="1"/>
      <w:numFmt w:val="lowerRoman"/>
      <w:lvlText w:val="%3."/>
      <w:lvlJc w:val="right"/>
      <w:pPr>
        <w:ind w:left="2160" w:hanging="180"/>
      </w:pPr>
    </w:lvl>
    <w:lvl w:ilvl="3" w:tplc="F7504C42">
      <w:start w:val="1"/>
      <w:numFmt w:val="decimal"/>
      <w:lvlText w:val="%4."/>
      <w:lvlJc w:val="left"/>
      <w:pPr>
        <w:ind w:left="2880" w:hanging="360"/>
      </w:pPr>
    </w:lvl>
    <w:lvl w:ilvl="4" w:tplc="D7C68A5A">
      <w:start w:val="1"/>
      <w:numFmt w:val="lowerLetter"/>
      <w:lvlText w:val="%5."/>
      <w:lvlJc w:val="left"/>
      <w:pPr>
        <w:ind w:left="3600" w:hanging="360"/>
      </w:pPr>
    </w:lvl>
    <w:lvl w:ilvl="5" w:tplc="32148E38">
      <w:start w:val="1"/>
      <w:numFmt w:val="lowerRoman"/>
      <w:lvlText w:val="%6."/>
      <w:lvlJc w:val="right"/>
      <w:pPr>
        <w:ind w:left="4320" w:hanging="180"/>
      </w:pPr>
    </w:lvl>
    <w:lvl w:ilvl="6" w:tplc="6436DD82">
      <w:start w:val="1"/>
      <w:numFmt w:val="decimal"/>
      <w:lvlText w:val="%7."/>
      <w:lvlJc w:val="left"/>
      <w:pPr>
        <w:ind w:left="5040" w:hanging="360"/>
      </w:pPr>
    </w:lvl>
    <w:lvl w:ilvl="7" w:tplc="4CA24688">
      <w:start w:val="1"/>
      <w:numFmt w:val="lowerLetter"/>
      <w:lvlText w:val="%8."/>
      <w:lvlJc w:val="left"/>
      <w:pPr>
        <w:ind w:left="5760" w:hanging="360"/>
      </w:pPr>
    </w:lvl>
    <w:lvl w:ilvl="8" w:tplc="63A636B6">
      <w:start w:val="1"/>
      <w:numFmt w:val="lowerRoman"/>
      <w:lvlText w:val="%9."/>
      <w:lvlJc w:val="right"/>
      <w:pPr>
        <w:ind w:left="6480" w:hanging="180"/>
      </w:pPr>
    </w:lvl>
  </w:abstractNum>
  <w:abstractNum w:abstractNumId="61" w15:restartNumberingAfterBreak="0">
    <w:nsid w:val="77BD61DE"/>
    <w:multiLevelType w:val="hybridMultilevel"/>
    <w:tmpl w:val="9B32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2109EB"/>
    <w:multiLevelType w:val="hybridMultilevel"/>
    <w:tmpl w:val="5E4286BE"/>
    <w:lvl w:ilvl="0" w:tplc="CC92B7AC">
      <w:start w:val="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327872"/>
    <w:multiLevelType w:val="hybridMultilevel"/>
    <w:tmpl w:val="FFFFFFFF"/>
    <w:lvl w:ilvl="0" w:tplc="E01AD864">
      <w:start w:val="1"/>
      <w:numFmt w:val="upperRoman"/>
      <w:lvlText w:val="%1."/>
      <w:lvlJc w:val="right"/>
      <w:pPr>
        <w:ind w:left="720" w:hanging="360"/>
      </w:pPr>
    </w:lvl>
    <w:lvl w:ilvl="1" w:tplc="0D3E460C">
      <w:start w:val="1"/>
      <w:numFmt w:val="lowerLetter"/>
      <w:lvlText w:val="%2."/>
      <w:lvlJc w:val="left"/>
      <w:pPr>
        <w:ind w:left="1440" w:hanging="360"/>
      </w:pPr>
    </w:lvl>
    <w:lvl w:ilvl="2" w:tplc="B8F2AA36">
      <w:start w:val="1"/>
      <w:numFmt w:val="lowerRoman"/>
      <w:lvlText w:val="%3."/>
      <w:lvlJc w:val="right"/>
      <w:pPr>
        <w:ind w:left="2160" w:hanging="180"/>
      </w:pPr>
    </w:lvl>
    <w:lvl w:ilvl="3" w:tplc="5A140846">
      <w:start w:val="1"/>
      <w:numFmt w:val="decimal"/>
      <w:lvlText w:val="%4."/>
      <w:lvlJc w:val="left"/>
      <w:pPr>
        <w:ind w:left="2880" w:hanging="360"/>
      </w:pPr>
    </w:lvl>
    <w:lvl w:ilvl="4" w:tplc="D3144D36">
      <w:start w:val="1"/>
      <w:numFmt w:val="lowerLetter"/>
      <w:lvlText w:val="%5."/>
      <w:lvlJc w:val="left"/>
      <w:pPr>
        <w:ind w:left="3600" w:hanging="360"/>
      </w:pPr>
    </w:lvl>
    <w:lvl w:ilvl="5" w:tplc="89AAA164">
      <w:start w:val="1"/>
      <w:numFmt w:val="lowerRoman"/>
      <w:lvlText w:val="%6."/>
      <w:lvlJc w:val="right"/>
      <w:pPr>
        <w:ind w:left="4320" w:hanging="180"/>
      </w:pPr>
    </w:lvl>
    <w:lvl w:ilvl="6" w:tplc="F6F0F162">
      <w:start w:val="1"/>
      <w:numFmt w:val="decimal"/>
      <w:lvlText w:val="%7."/>
      <w:lvlJc w:val="left"/>
      <w:pPr>
        <w:ind w:left="5040" w:hanging="360"/>
      </w:pPr>
    </w:lvl>
    <w:lvl w:ilvl="7" w:tplc="DE90C718">
      <w:start w:val="1"/>
      <w:numFmt w:val="lowerLetter"/>
      <w:lvlText w:val="%8."/>
      <w:lvlJc w:val="left"/>
      <w:pPr>
        <w:ind w:left="5760" w:hanging="360"/>
      </w:pPr>
    </w:lvl>
    <w:lvl w:ilvl="8" w:tplc="7F3A3D1A">
      <w:start w:val="1"/>
      <w:numFmt w:val="lowerRoman"/>
      <w:lvlText w:val="%9."/>
      <w:lvlJc w:val="right"/>
      <w:pPr>
        <w:ind w:left="6480" w:hanging="180"/>
      </w:pPr>
    </w:lvl>
  </w:abstractNum>
  <w:num w:numId="1">
    <w:abstractNumId w:val="26"/>
  </w:num>
  <w:num w:numId="2">
    <w:abstractNumId w:val="53"/>
  </w:num>
  <w:num w:numId="3">
    <w:abstractNumId w:val="31"/>
  </w:num>
  <w:num w:numId="4">
    <w:abstractNumId w:val="21"/>
  </w:num>
  <w:num w:numId="5">
    <w:abstractNumId w:val="3"/>
  </w:num>
  <w:num w:numId="6">
    <w:abstractNumId w:val="16"/>
  </w:num>
  <w:num w:numId="7">
    <w:abstractNumId w:val="6"/>
  </w:num>
  <w:num w:numId="8">
    <w:abstractNumId w:val="49"/>
  </w:num>
  <w:num w:numId="9">
    <w:abstractNumId w:val="19"/>
  </w:num>
  <w:num w:numId="10">
    <w:abstractNumId w:val="33"/>
  </w:num>
  <w:num w:numId="11">
    <w:abstractNumId w:val="25"/>
  </w:num>
  <w:num w:numId="12">
    <w:abstractNumId w:val="9"/>
  </w:num>
  <w:num w:numId="13">
    <w:abstractNumId w:val="62"/>
  </w:num>
  <w:num w:numId="14">
    <w:abstractNumId w:val="32"/>
  </w:num>
  <w:num w:numId="15">
    <w:abstractNumId w:val="50"/>
  </w:num>
  <w:num w:numId="16">
    <w:abstractNumId w:val="57"/>
  </w:num>
  <w:num w:numId="17">
    <w:abstractNumId w:val="59"/>
  </w:num>
  <w:num w:numId="18">
    <w:abstractNumId w:val="5"/>
  </w:num>
  <w:num w:numId="19">
    <w:abstractNumId w:val="46"/>
  </w:num>
  <w:num w:numId="20">
    <w:abstractNumId w:val="30"/>
  </w:num>
  <w:num w:numId="21">
    <w:abstractNumId w:val="14"/>
  </w:num>
  <w:num w:numId="22">
    <w:abstractNumId w:val="1"/>
  </w:num>
  <w:num w:numId="23">
    <w:abstractNumId w:val="11"/>
  </w:num>
  <w:num w:numId="24">
    <w:abstractNumId w:val="40"/>
  </w:num>
  <w:num w:numId="25">
    <w:abstractNumId w:val="43"/>
  </w:num>
  <w:num w:numId="26">
    <w:abstractNumId w:val="29"/>
  </w:num>
  <w:num w:numId="27">
    <w:abstractNumId w:val="20"/>
  </w:num>
  <w:num w:numId="28">
    <w:abstractNumId w:val="39"/>
  </w:num>
  <w:num w:numId="29">
    <w:abstractNumId w:val="37"/>
  </w:num>
  <w:num w:numId="30">
    <w:abstractNumId w:val="7"/>
  </w:num>
  <w:num w:numId="31">
    <w:abstractNumId w:val="2"/>
  </w:num>
  <w:num w:numId="32">
    <w:abstractNumId w:val="52"/>
  </w:num>
  <w:num w:numId="33">
    <w:abstractNumId w:val="0"/>
  </w:num>
  <w:num w:numId="34">
    <w:abstractNumId w:val="42"/>
  </w:num>
  <w:num w:numId="35">
    <w:abstractNumId w:val="15"/>
  </w:num>
  <w:num w:numId="36">
    <w:abstractNumId w:val="34"/>
  </w:num>
  <w:num w:numId="37">
    <w:abstractNumId w:val="61"/>
  </w:num>
  <w:num w:numId="38">
    <w:abstractNumId w:val="13"/>
  </w:num>
  <w:num w:numId="39">
    <w:abstractNumId w:val="45"/>
  </w:num>
  <w:num w:numId="40">
    <w:abstractNumId w:val="41"/>
  </w:num>
  <w:num w:numId="41">
    <w:abstractNumId w:val="23"/>
  </w:num>
  <w:num w:numId="42">
    <w:abstractNumId w:val="38"/>
  </w:num>
  <w:num w:numId="43">
    <w:abstractNumId w:val="63"/>
  </w:num>
  <w:num w:numId="44">
    <w:abstractNumId w:val="10"/>
  </w:num>
  <w:num w:numId="45">
    <w:abstractNumId w:val="22"/>
  </w:num>
  <w:num w:numId="46">
    <w:abstractNumId w:val="48"/>
  </w:num>
  <w:num w:numId="47">
    <w:abstractNumId w:val="4"/>
  </w:num>
  <w:num w:numId="48">
    <w:abstractNumId w:val="44"/>
  </w:num>
  <w:num w:numId="49">
    <w:abstractNumId w:val="18"/>
  </w:num>
  <w:num w:numId="50">
    <w:abstractNumId w:val="60"/>
  </w:num>
  <w:num w:numId="51">
    <w:abstractNumId w:val="12"/>
  </w:num>
  <w:num w:numId="52">
    <w:abstractNumId w:val="55"/>
  </w:num>
  <w:num w:numId="53">
    <w:abstractNumId w:val="47"/>
  </w:num>
  <w:num w:numId="54">
    <w:abstractNumId w:val="54"/>
  </w:num>
  <w:num w:numId="55">
    <w:abstractNumId w:val="24"/>
  </w:num>
  <w:num w:numId="56">
    <w:abstractNumId w:val="56"/>
  </w:num>
  <w:num w:numId="57">
    <w:abstractNumId w:val="17"/>
  </w:num>
  <w:num w:numId="58">
    <w:abstractNumId w:val="8"/>
  </w:num>
  <w:num w:numId="59">
    <w:abstractNumId w:val="28"/>
  </w:num>
  <w:num w:numId="60">
    <w:abstractNumId w:val="27"/>
  </w:num>
  <w:num w:numId="61">
    <w:abstractNumId w:val="36"/>
  </w:num>
  <w:num w:numId="62">
    <w:abstractNumId w:val="51"/>
  </w:num>
  <w:num w:numId="63">
    <w:abstractNumId w:val="35"/>
  </w:num>
  <w:num w:numId="64">
    <w:abstractNumId w:val="5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EB9"/>
    <w:rsid w:val="00000E83"/>
    <w:rsid w:val="000036AA"/>
    <w:rsid w:val="00003853"/>
    <w:rsid w:val="00005C15"/>
    <w:rsid w:val="00015511"/>
    <w:rsid w:val="00015ECF"/>
    <w:rsid w:val="00016252"/>
    <w:rsid w:val="0001759F"/>
    <w:rsid w:val="000176CD"/>
    <w:rsid w:val="00020D12"/>
    <w:rsid w:val="000213D1"/>
    <w:rsid w:val="0002501E"/>
    <w:rsid w:val="00025535"/>
    <w:rsid w:val="00026230"/>
    <w:rsid w:val="00030126"/>
    <w:rsid w:val="000306B8"/>
    <w:rsid w:val="00031649"/>
    <w:rsid w:val="000323C3"/>
    <w:rsid w:val="00032AA4"/>
    <w:rsid w:val="00032C67"/>
    <w:rsid w:val="00034D56"/>
    <w:rsid w:val="00035153"/>
    <w:rsid w:val="00036A39"/>
    <w:rsid w:val="00041AA4"/>
    <w:rsid w:val="00043C82"/>
    <w:rsid w:val="0004494E"/>
    <w:rsid w:val="00046D19"/>
    <w:rsid w:val="00050D31"/>
    <w:rsid w:val="00051412"/>
    <w:rsid w:val="000515D5"/>
    <w:rsid w:val="00054AAD"/>
    <w:rsid w:val="000571A7"/>
    <w:rsid w:val="00057623"/>
    <w:rsid w:val="00061E15"/>
    <w:rsid w:val="00065D29"/>
    <w:rsid w:val="00067ED3"/>
    <w:rsid w:val="00071E1D"/>
    <w:rsid w:val="00077BC9"/>
    <w:rsid w:val="0008605D"/>
    <w:rsid w:val="00090FEB"/>
    <w:rsid w:val="00091332"/>
    <w:rsid w:val="000939B8"/>
    <w:rsid w:val="00094526"/>
    <w:rsid w:val="00097DD1"/>
    <w:rsid w:val="000A13EC"/>
    <w:rsid w:val="000A175F"/>
    <w:rsid w:val="000B0FA9"/>
    <w:rsid w:val="000B2160"/>
    <w:rsid w:val="000B33F5"/>
    <w:rsid w:val="000B68A3"/>
    <w:rsid w:val="000C03D6"/>
    <w:rsid w:val="000C0EAC"/>
    <w:rsid w:val="000C27CD"/>
    <w:rsid w:val="000C6B07"/>
    <w:rsid w:val="000C7B96"/>
    <w:rsid w:val="000D1269"/>
    <w:rsid w:val="000D1349"/>
    <w:rsid w:val="000D221E"/>
    <w:rsid w:val="000D7338"/>
    <w:rsid w:val="000E3569"/>
    <w:rsid w:val="000E48A2"/>
    <w:rsid w:val="000E5482"/>
    <w:rsid w:val="000E6F72"/>
    <w:rsid w:val="000F3FDC"/>
    <w:rsid w:val="000F7D1D"/>
    <w:rsid w:val="00103F15"/>
    <w:rsid w:val="00104128"/>
    <w:rsid w:val="00104E0A"/>
    <w:rsid w:val="00107136"/>
    <w:rsid w:val="0011082D"/>
    <w:rsid w:val="00110857"/>
    <w:rsid w:val="00113EBD"/>
    <w:rsid w:val="00113F8F"/>
    <w:rsid w:val="001171A3"/>
    <w:rsid w:val="001212F5"/>
    <w:rsid w:val="00121572"/>
    <w:rsid w:val="001224C1"/>
    <w:rsid w:val="00122E5F"/>
    <w:rsid w:val="00123AE5"/>
    <w:rsid w:val="00124362"/>
    <w:rsid w:val="00131249"/>
    <w:rsid w:val="00132170"/>
    <w:rsid w:val="001327CF"/>
    <w:rsid w:val="00134362"/>
    <w:rsid w:val="00137699"/>
    <w:rsid w:val="00140A2D"/>
    <w:rsid w:val="00143B3D"/>
    <w:rsid w:val="00145FC2"/>
    <w:rsid w:val="00146C5C"/>
    <w:rsid w:val="00152593"/>
    <w:rsid w:val="0015468F"/>
    <w:rsid w:val="00154AD0"/>
    <w:rsid w:val="001566E8"/>
    <w:rsid w:val="001567D4"/>
    <w:rsid w:val="0015714C"/>
    <w:rsid w:val="001573F6"/>
    <w:rsid w:val="0016260E"/>
    <w:rsid w:val="0016324D"/>
    <w:rsid w:val="00164F05"/>
    <w:rsid w:val="00171F75"/>
    <w:rsid w:val="00173AC0"/>
    <w:rsid w:val="00176812"/>
    <w:rsid w:val="00177522"/>
    <w:rsid w:val="0018222C"/>
    <w:rsid w:val="0018322E"/>
    <w:rsid w:val="0018362E"/>
    <w:rsid w:val="00185239"/>
    <w:rsid w:val="001867E8"/>
    <w:rsid w:val="00187A58"/>
    <w:rsid w:val="001902FC"/>
    <w:rsid w:val="00191F19"/>
    <w:rsid w:val="00192034"/>
    <w:rsid w:val="001935AB"/>
    <w:rsid w:val="001A1974"/>
    <w:rsid w:val="001A4073"/>
    <w:rsid w:val="001A54C8"/>
    <w:rsid w:val="001B09D4"/>
    <w:rsid w:val="001B1CCC"/>
    <w:rsid w:val="001B3780"/>
    <w:rsid w:val="001B4BD0"/>
    <w:rsid w:val="001B5BAA"/>
    <w:rsid w:val="001B6932"/>
    <w:rsid w:val="001B6E81"/>
    <w:rsid w:val="001C1149"/>
    <w:rsid w:val="001C3A1D"/>
    <w:rsid w:val="001C5BE8"/>
    <w:rsid w:val="001D48A2"/>
    <w:rsid w:val="001D50F1"/>
    <w:rsid w:val="001D5262"/>
    <w:rsid w:val="001D5A9B"/>
    <w:rsid w:val="001D5F85"/>
    <w:rsid w:val="001D6131"/>
    <w:rsid w:val="001E378F"/>
    <w:rsid w:val="001E5EEE"/>
    <w:rsid w:val="001E6F5D"/>
    <w:rsid w:val="001F1597"/>
    <w:rsid w:val="001F3429"/>
    <w:rsid w:val="001F76DC"/>
    <w:rsid w:val="00201C94"/>
    <w:rsid w:val="00202B37"/>
    <w:rsid w:val="0020361A"/>
    <w:rsid w:val="00204053"/>
    <w:rsid w:val="0020534D"/>
    <w:rsid w:val="00205CB3"/>
    <w:rsid w:val="00211F17"/>
    <w:rsid w:val="00212791"/>
    <w:rsid w:val="00212886"/>
    <w:rsid w:val="00214488"/>
    <w:rsid w:val="00214A75"/>
    <w:rsid w:val="0021728A"/>
    <w:rsid w:val="00220E1B"/>
    <w:rsid w:val="002217C1"/>
    <w:rsid w:val="00223604"/>
    <w:rsid w:val="00224D86"/>
    <w:rsid w:val="00225DC9"/>
    <w:rsid w:val="00227942"/>
    <w:rsid w:val="00230068"/>
    <w:rsid w:val="002355F5"/>
    <w:rsid w:val="00235795"/>
    <w:rsid w:val="002364EC"/>
    <w:rsid w:val="00236763"/>
    <w:rsid w:val="00237A78"/>
    <w:rsid w:val="002411F1"/>
    <w:rsid w:val="002459B5"/>
    <w:rsid w:val="00246A1A"/>
    <w:rsid w:val="002476D0"/>
    <w:rsid w:val="00247B1A"/>
    <w:rsid w:val="00253222"/>
    <w:rsid w:val="0025688A"/>
    <w:rsid w:val="00256AF1"/>
    <w:rsid w:val="00256E79"/>
    <w:rsid w:val="002579E2"/>
    <w:rsid w:val="00257E47"/>
    <w:rsid w:val="00260190"/>
    <w:rsid w:val="00261922"/>
    <w:rsid w:val="0026469A"/>
    <w:rsid w:val="00266716"/>
    <w:rsid w:val="00267A89"/>
    <w:rsid w:val="00267BA5"/>
    <w:rsid w:val="0027062D"/>
    <w:rsid w:val="00271035"/>
    <w:rsid w:val="0027191E"/>
    <w:rsid w:val="0027217A"/>
    <w:rsid w:val="0027289A"/>
    <w:rsid w:val="002730ED"/>
    <w:rsid w:val="00276421"/>
    <w:rsid w:val="002769E9"/>
    <w:rsid w:val="0027713B"/>
    <w:rsid w:val="0028067D"/>
    <w:rsid w:val="00280FD4"/>
    <w:rsid w:val="00282ABE"/>
    <w:rsid w:val="00282E8E"/>
    <w:rsid w:val="00284512"/>
    <w:rsid w:val="00287E7E"/>
    <w:rsid w:val="00290335"/>
    <w:rsid w:val="002908AD"/>
    <w:rsid w:val="00294602"/>
    <w:rsid w:val="00296BE7"/>
    <w:rsid w:val="002A095B"/>
    <w:rsid w:val="002A0C56"/>
    <w:rsid w:val="002A2003"/>
    <w:rsid w:val="002A5936"/>
    <w:rsid w:val="002A5B91"/>
    <w:rsid w:val="002A6C5C"/>
    <w:rsid w:val="002B234F"/>
    <w:rsid w:val="002B2ED9"/>
    <w:rsid w:val="002B5145"/>
    <w:rsid w:val="002B5412"/>
    <w:rsid w:val="002B6167"/>
    <w:rsid w:val="002B6647"/>
    <w:rsid w:val="002B68C7"/>
    <w:rsid w:val="002B7932"/>
    <w:rsid w:val="002B79BC"/>
    <w:rsid w:val="002B7AAA"/>
    <w:rsid w:val="002C063E"/>
    <w:rsid w:val="002C18BC"/>
    <w:rsid w:val="002C633A"/>
    <w:rsid w:val="002C7265"/>
    <w:rsid w:val="002D256D"/>
    <w:rsid w:val="002D6DB8"/>
    <w:rsid w:val="002E11A0"/>
    <w:rsid w:val="002E48FC"/>
    <w:rsid w:val="002E4A36"/>
    <w:rsid w:val="002E60F4"/>
    <w:rsid w:val="002E63CA"/>
    <w:rsid w:val="002E7DBA"/>
    <w:rsid w:val="002E7E4A"/>
    <w:rsid w:val="002F09E3"/>
    <w:rsid w:val="002F0BBA"/>
    <w:rsid w:val="002F2AE5"/>
    <w:rsid w:val="002F346E"/>
    <w:rsid w:val="002F4714"/>
    <w:rsid w:val="002F54DF"/>
    <w:rsid w:val="002F665A"/>
    <w:rsid w:val="003022D9"/>
    <w:rsid w:val="0030258F"/>
    <w:rsid w:val="003033DE"/>
    <w:rsid w:val="003112DA"/>
    <w:rsid w:val="00311A3A"/>
    <w:rsid w:val="00311BF5"/>
    <w:rsid w:val="00313B68"/>
    <w:rsid w:val="003154F3"/>
    <w:rsid w:val="0031741C"/>
    <w:rsid w:val="003175E8"/>
    <w:rsid w:val="0032049A"/>
    <w:rsid w:val="003229F8"/>
    <w:rsid w:val="00324048"/>
    <w:rsid w:val="00324157"/>
    <w:rsid w:val="00325E63"/>
    <w:rsid w:val="0032624C"/>
    <w:rsid w:val="00327604"/>
    <w:rsid w:val="00332407"/>
    <w:rsid w:val="00336EE7"/>
    <w:rsid w:val="0034184F"/>
    <w:rsid w:val="00344007"/>
    <w:rsid w:val="0034563E"/>
    <w:rsid w:val="003530DA"/>
    <w:rsid w:val="0035758E"/>
    <w:rsid w:val="00361787"/>
    <w:rsid w:val="00365991"/>
    <w:rsid w:val="00370625"/>
    <w:rsid w:val="00370888"/>
    <w:rsid w:val="0037351B"/>
    <w:rsid w:val="003737F1"/>
    <w:rsid w:val="003753E3"/>
    <w:rsid w:val="003803E3"/>
    <w:rsid w:val="003862B4"/>
    <w:rsid w:val="003905CB"/>
    <w:rsid w:val="00393054"/>
    <w:rsid w:val="00394A51"/>
    <w:rsid w:val="00395DF2"/>
    <w:rsid w:val="00397541"/>
    <w:rsid w:val="003A01FC"/>
    <w:rsid w:val="003A1C7D"/>
    <w:rsid w:val="003A5AF7"/>
    <w:rsid w:val="003A5DDB"/>
    <w:rsid w:val="003A6989"/>
    <w:rsid w:val="003A6A58"/>
    <w:rsid w:val="003A7849"/>
    <w:rsid w:val="003B0990"/>
    <w:rsid w:val="003B214E"/>
    <w:rsid w:val="003B73E7"/>
    <w:rsid w:val="003C072E"/>
    <w:rsid w:val="003C15A4"/>
    <w:rsid w:val="003C1E1F"/>
    <w:rsid w:val="003C3A62"/>
    <w:rsid w:val="003C45BF"/>
    <w:rsid w:val="003C4E41"/>
    <w:rsid w:val="003C509D"/>
    <w:rsid w:val="003C5B8B"/>
    <w:rsid w:val="003C73EF"/>
    <w:rsid w:val="003D0920"/>
    <w:rsid w:val="003D2559"/>
    <w:rsid w:val="003D2EB5"/>
    <w:rsid w:val="003D56AC"/>
    <w:rsid w:val="003D6969"/>
    <w:rsid w:val="003D7EF0"/>
    <w:rsid w:val="003E05FD"/>
    <w:rsid w:val="003E1A6E"/>
    <w:rsid w:val="003E4127"/>
    <w:rsid w:val="003E4EFB"/>
    <w:rsid w:val="003F47B6"/>
    <w:rsid w:val="003F5845"/>
    <w:rsid w:val="004010EC"/>
    <w:rsid w:val="00401B6D"/>
    <w:rsid w:val="004053C6"/>
    <w:rsid w:val="0040698B"/>
    <w:rsid w:val="00407977"/>
    <w:rsid w:val="004102EF"/>
    <w:rsid w:val="004109DC"/>
    <w:rsid w:val="0041148D"/>
    <w:rsid w:val="00416EF0"/>
    <w:rsid w:val="00420CFE"/>
    <w:rsid w:val="00422A87"/>
    <w:rsid w:val="00425923"/>
    <w:rsid w:val="00425C33"/>
    <w:rsid w:val="004276CC"/>
    <w:rsid w:val="00430D01"/>
    <w:rsid w:val="0043276E"/>
    <w:rsid w:val="004357D4"/>
    <w:rsid w:val="004368EC"/>
    <w:rsid w:val="0043751A"/>
    <w:rsid w:val="00440241"/>
    <w:rsid w:val="0044150B"/>
    <w:rsid w:val="00451358"/>
    <w:rsid w:val="004552FD"/>
    <w:rsid w:val="004578BD"/>
    <w:rsid w:val="004670E6"/>
    <w:rsid w:val="0047040C"/>
    <w:rsid w:val="00473936"/>
    <w:rsid w:val="00475623"/>
    <w:rsid w:val="004771A0"/>
    <w:rsid w:val="00477B58"/>
    <w:rsid w:val="00477CFC"/>
    <w:rsid w:val="0048083F"/>
    <w:rsid w:val="00480F62"/>
    <w:rsid w:val="0048289F"/>
    <w:rsid w:val="00483DD4"/>
    <w:rsid w:val="00484092"/>
    <w:rsid w:val="00491476"/>
    <w:rsid w:val="00492A13"/>
    <w:rsid w:val="00493FC8"/>
    <w:rsid w:val="00494283"/>
    <w:rsid w:val="004946B7"/>
    <w:rsid w:val="004A0D0B"/>
    <w:rsid w:val="004A16A7"/>
    <w:rsid w:val="004A1A8C"/>
    <w:rsid w:val="004A6FD9"/>
    <w:rsid w:val="004B1DE8"/>
    <w:rsid w:val="004B2BB8"/>
    <w:rsid w:val="004B4E39"/>
    <w:rsid w:val="004C1856"/>
    <w:rsid w:val="004C237B"/>
    <w:rsid w:val="004C3403"/>
    <w:rsid w:val="004C4B59"/>
    <w:rsid w:val="004C6A50"/>
    <w:rsid w:val="004D1426"/>
    <w:rsid w:val="004D171D"/>
    <w:rsid w:val="004D3266"/>
    <w:rsid w:val="004D463A"/>
    <w:rsid w:val="004D579C"/>
    <w:rsid w:val="004D5F0B"/>
    <w:rsid w:val="004D60DE"/>
    <w:rsid w:val="004E17CD"/>
    <w:rsid w:val="004E2303"/>
    <w:rsid w:val="004E3A03"/>
    <w:rsid w:val="004E442B"/>
    <w:rsid w:val="004E4A57"/>
    <w:rsid w:val="004E6AA1"/>
    <w:rsid w:val="004F1127"/>
    <w:rsid w:val="004F1500"/>
    <w:rsid w:val="004F3029"/>
    <w:rsid w:val="004F54D6"/>
    <w:rsid w:val="004F5F30"/>
    <w:rsid w:val="0050243D"/>
    <w:rsid w:val="00504BDC"/>
    <w:rsid w:val="00504EC2"/>
    <w:rsid w:val="00510D02"/>
    <w:rsid w:val="005116AC"/>
    <w:rsid w:val="005137ED"/>
    <w:rsid w:val="00514206"/>
    <w:rsid w:val="00520394"/>
    <w:rsid w:val="005204BF"/>
    <w:rsid w:val="00521C7C"/>
    <w:rsid w:val="005221E2"/>
    <w:rsid w:val="005272B5"/>
    <w:rsid w:val="00532573"/>
    <w:rsid w:val="005372E6"/>
    <w:rsid w:val="00540345"/>
    <w:rsid w:val="005412BF"/>
    <w:rsid w:val="00542737"/>
    <w:rsid w:val="00543C69"/>
    <w:rsid w:val="00552649"/>
    <w:rsid w:val="005536CE"/>
    <w:rsid w:val="005569E2"/>
    <w:rsid w:val="00557786"/>
    <w:rsid w:val="005578BC"/>
    <w:rsid w:val="00564FCF"/>
    <w:rsid w:val="00570CBC"/>
    <w:rsid w:val="005710FA"/>
    <w:rsid w:val="00573692"/>
    <w:rsid w:val="00583ABC"/>
    <w:rsid w:val="005854C3"/>
    <w:rsid w:val="00586DC4"/>
    <w:rsid w:val="00597186"/>
    <w:rsid w:val="005A218D"/>
    <w:rsid w:val="005A784F"/>
    <w:rsid w:val="005B0557"/>
    <w:rsid w:val="005B08B4"/>
    <w:rsid w:val="005B0EAA"/>
    <w:rsid w:val="005B3AFE"/>
    <w:rsid w:val="005B4FA3"/>
    <w:rsid w:val="005C008D"/>
    <w:rsid w:val="005C08A1"/>
    <w:rsid w:val="005C49BE"/>
    <w:rsid w:val="005C7D9B"/>
    <w:rsid w:val="005C7E87"/>
    <w:rsid w:val="005D2358"/>
    <w:rsid w:val="005D3C2B"/>
    <w:rsid w:val="005D5BCF"/>
    <w:rsid w:val="005D61A4"/>
    <w:rsid w:val="005D7E5C"/>
    <w:rsid w:val="005D7FFC"/>
    <w:rsid w:val="005E34E1"/>
    <w:rsid w:val="005E60AD"/>
    <w:rsid w:val="005E6FC2"/>
    <w:rsid w:val="005E7AE4"/>
    <w:rsid w:val="005F361B"/>
    <w:rsid w:val="005F381E"/>
    <w:rsid w:val="005F3CB2"/>
    <w:rsid w:val="005F4B55"/>
    <w:rsid w:val="005F52A9"/>
    <w:rsid w:val="00600918"/>
    <w:rsid w:val="00601842"/>
    <w:rsid w:val="006056F5"/>
    <w:rsid w:val="00607065"/>
    <w:rsid w:val="006077E8"/>
    <w:rsid w:val="00610E14"/>
    <w:rsid w:val="00610F18"/>
    <w:rsid w:val="006127AE"/>
    <w:rsid w:val="006138E8"/>
    <w:rsid w:val="006145FF"/>
    <w:rsid w:val="006161EF"/>
    <w:rsid w:val="006164A9"/>
    <w:rsid w:val="00626124"/>
    <w:rsid w:val="00632B94"/>
    <w:rsid w:val="00633687"/>
    <w:rsid w:val="0063545C"/>
    <w:rsid w:val="0063779D"/>
    <w:rsid w:val="0064011E"/>
    <w:rsid w:val="00644BFE"/>
    <w:rsid w:val="00646B40"/>
    <w:rsid w:val="00646B63"/>
    <w:rsid w:val="00646E17"/>
    <w:rsid w:val="006508AC"/>
    <w:rsid w:val="00650945"/>
    <w:rsid w:val="00651966"/>
    <w:rsid w:val="006526D3"/>
    <w:rsid w:val="00653E36"/>
    <w:rsid w:val="00656C4C"/>
    <w:rsid w:val="006571B1"/>
    <w:rsid w:val="00663CE3"/>
    <w:rsid w:val="006651D2"/>
    <w:rsid w:val="00670513"/>
    <w:rsid w:val="006721BD"/>
    <w:rsid w:val="00672476"/>
    <w:rsid w:val="00673551"/>
    <w:rsid w:val="00680108"/>
    <w:rsid w:val="00683E0F"/>
    <w:rsid w:val="00686CF8"/>
    <w:rsid w:val="00687F38"/>
    <w:rsid w:val="006902A2"/>
    <w:rsid w:val="00691CA6"/>
    <w:rsid w:val="00694067"/>
    <w:rsid w:val="006943AE"/>
    <w:rsid w:val="0069765B"/>
    <w:rsid w:val="006A07A2"/>
    <w:rsid w:val="006A2A00"/>
    <w:rsid w:val="006A3662"/>
    <w:rsid w:val="006A3D7B"/>
    <w:rsid w:val="006A6941"/>
    <w:rsid w:val="006B1C68"/>
    <w:rsid w:val="006B3BFD"/>
    <w:rsid w:val="006B6628"/>
    <w:rsid w:val="006B766F"/>
    <w:rsid w:val="006C1DD5"/>
    <w:rsid w:val="006C1EC5"/>
    <w:rsid w:val="006C4B45"/>
    <w:rsid w:val="006C55E3"/>
    <w:rsid w:val="006D1479"/>
    <w:rsid w:val="006D2674"/>
    <w:rsid w:val="006D2954"/>
    <w:rsid w:val="006D3713"/>
    <w:rsid w:val="006D50BE"/>
    <w:rsid w:val="006D67EF"/>
    <w:rsid w:val="006E0912"/>
    <w:rsid w:val="006E0A5C"/>
    <w:rsid w:val="006E2BB6"/>
    <w:rsid w:val="006E2D84"/>
    <w:rsid w:val="006E36B6"/>
    <w:rsid w:val="006E5245"/>
    <w:rsid w:val="006E527B"/>
    <w:rsid w:val="006E53A5"/>
    <w:rsid w:val="006E6A4E"/>
    <w:rsid w:val="006E6B56"/>
    <w:rsid w:val="006F3360"/>
    <w:rsid w:val="006F6CC7"/>
    <w:rsid w:val="006F7DD8"/>
    <w:rsid w:val="00700D5D"/>
    <w:rsid w:val="00706A6A"/>
    <w:rsid w:val="00717DE3"/>
    <w:rsid w:val="00720358"/>
    <w:rsid w:val="007209D2"/>
    <w:rsid w:val="007264A0"/>
    <w:rsid w:val="00726C14"/>
    <w:rsid w:val="00731E92"/>
    <w:rsid w:val="00732684"/>
    <w:rsid w:val="007354FE"/>
    <w:rsid w:val="00735BDC"/>
    <w:rsid w:val="00741D6C"/>
    <w:rsid w:val="00742233"/>
    <w:rsid w:val="00742AA2"/>
    <w:rsid w:val="0075046B"/>
    <w:rsid w:val="007524B9"/>
    <w:rsid w:val="007527CF"/>
    <w:rsid w:val="00753247"/>
    <w:rsid w:val="00753FC9"/>
    <w:rsid w:val="0076252E"/>
    <w:rsid w:val="00765F25"/>
    <w:rsid w:val="00766CEA"/>
    <w:rsid w:val="007670EC"/>
    <w:rsid w:val="00767FB6"/>
    <w:rsid w:val="00770480"/>
    <w:rsid w:val="00773FF0"/>
    <w:rsid w:val="00774819"/>
    <w:rsid w:val="00774D35"/>
    <w:rsid w:val="007766C3"/>
    <w:rsid w:val="0077781B"/>
    <w:rsid w:val="00780699"/>
    <w:rsid w:val="00781228"/>
    <w:rsid w:val="00784C85"/>
    <w:rsid w:val="0078595C"/>
    <w:rsid w:val="0078735F"/>
    <w:rsid w:val="00787B40"/>
    <w:rsid w:val="00790D53"/>
    <w:rsid w:val="00791720"/>
    <w:rsid w:val="007930BF"/>
    <w:rsid w:val="0079488F"/>
    <w:rsid w:val="00794AFC"/>
    <w:rsid w:val="00797896"/>
    <w:rsid w:val="007A04EE"/>
    <w:rsid w:val="007A0D3E"/>
    <w:rsid w:val="007A2F9A"/>
    <w:rsid w:val="007A30A8"/>
    <w:rsid w:val="007A4784"/>
    <w:rsid w:val="007A624F"/>
    <w:rsid w:val="007A6A9F"/>
    <w:rsid w:val="007B1B2F"/>
    <w:rsid w:val="007B218B"/>
    <w:rsid w:val="007C0204"/>
    <w:rsid w:val="007C4516"/>
    <w:rsid w:val="007C647E"/>
    <w:rsid w:val="007C66CC"/>
    <w:rsid w:val="007C7593"/>
    <w:rsid w:val="007C75DA"/>
    <w:rsid w:val="007C7BF1"/>
    <w:rsid w:val="007D11D9"/>
    <w:rsid w:val="007D43CF"/>
    <w:rsid w:val="007E0DB6"/>
    <w:rsid w:val="007E2589"/>
    <w:rsid w:val="007E527A"/>
    <w:rsid w:val="007E6695"/>
    <w:rsid w:val="007E66BC"/>
    <w:rsid w:val="007E703B"/>
    <w:rsid w:val="007F15A9"/>
    <w:rsid w:val="007F207B"/>
    <w:rsid w:val="007F3DB2"/>
    <w:rsid w:val="007F496A"/>
    <w:rsid w:val="007F706B"/>
    <w:rsid w:val="007F7C82"/>
    <w:rsid w:val="008005D2"/>
    <w:rsid w:val="008028A0"/>
    <w:rsid w:val="00803161"/>
    <w:rsid w:val="0080342A"/>
    <w:rsid w:val="00811B10"/>
    <w:rsid w:val="00811F9F"/>
    <w:rsid w:val="00813D95"/>
    <w:rsid w:val="00820393"/>
    <w:rsid w:val="0082299C"/>
    <w:rsid w:val="00823619"/>
    <w:rsid w:val="008240BF"/>
    <w:rsid w:val="0082412C"/>
    <w:rsid w:val="00824B75"/>
    <w:rsid w:val="00824C0C"/>
    <w:rsid w:val="00830BCA"/>
    <w:rsid w:val="008326B1"/>
    <w:rsid w:val="00832B2D"/>
    <w:rsid w:val="0083582A"/>
    <w:rsid w:val="008359B1"/>
    <w:rsid w:val="00835C3C"/>
    <w:rsid w:val="00836EBC"/>
    <w:rsid w:val="00842F34"/>
    <w:rsid w:val="00855DC6"/>
    <w:rsid w:val="00860715"/>
    <w:rsid w:val="00861FE8"/>
    <w:rsid w:val="0086221B"/>
    <w:rsid w:val="008626C2"/>
    <w:rsid w:val="00866501"/>
    <w:rsid w:val="00872B9E"/>
    <w:rsid w:val="008748E4"/>
    <w:rsid w:val="00875710"/>
    <w:rsid w:val="00876BD1"/>
    <w:rsid w:val="008810D4"/>
    <w:rsid w:val="008811AA"/>
    <w:rsid w:val="008820C8"/>
    <w:rsid w:val="00882ABC"/>
    <w:rsid w:val="00883763"/>
    <w:rsid w:val="00886F33"/>
    <w:rsid w:val="00887E08"/>
    <w:rsid w:val="00895ED0"/>
    <w:rsid w:val="008A06E1"/>
    <w:rsid w:val="008A0F35"/>
    <w:rsid w:val="008A6D17"/>
    <w:rsid w:val="008B1463"/>
    <w:rsid w:val="008B3E43"/>
    <w:rsid w:val="008B7956"/>
    <w:rsid w:val="008C1DF2"/>
    <w:rsid w:val="008C3E8D"/>
    <w:rsid w:val="008C4B40"/>
    <w:rsid w:val="008C547D"/>
    <w:rsid w:val="008C65C5"/>
    <w:rsid w:val="008D210E"/>
    <w:rsid w:val="008D5C5F"/>
    <w:rsid w:val="008E0A81"/>
    <w:rsid w:val="008E2997"/>
    <w:rsid w:val="008E4B76"/>
    <w:rsid w:val="008E5E34"/>
    <w:rsid w:val="008E6AA0"/>
    <w:rsid w:val="008E7CB0"/>
    <w:rsid w:val="008F1372"/>
    <w:rsid w:val="008F3250"/>
    <w:rsid w:val="008F380C"/>
    <w:rsid w:val="008F4304"/>
    <w:rsid w:val="008F58AE"/>
    <w:rsid w:val="008F6348"/>
    <w:rsid w:val="008F6362"/>
    <w:rsid w:val="008F662C"/>
    <w:rsid w:val="009011CF"/>
    <w:rsid w:val="00902B12"/>
    <w:rsid w:val="009046F6"/>
    <w:rsid w:val="0090488E"/>
    <w:rsid w:val="0090589A"/>
    <w:rsid w:val="0090604C"/>
    <w:rsid w:val="009116BA"/>
    <w:rsid w:val="0091187B"/>
    <w:rsid w:val="0091358C"/>
    <w:rsid w:val="00914378"/>
    <w:rsid w:val="00915FE5"/>
    <w:rsid w:val="00920E6E"/>
    <w:rsid w:val="00927ACB"/>
    <w:rsid w:val="00930622"/>
    <w:rsid w:val="00944371"/>
    <w:rsid w:val="00945371"/>
    <w:rsid w:val="00952432"/>
    <w:rsid w:val="00952929"/>
    <w:rsid w:val="00953179"/>
    <w:rsid w:val="009561DC"/>
    <w:rsid w:val="00957846"/>
    <w:rsid w:val="00961834"/>
    <w:rsid w:val="00967E0E"/>
    <w:rsid w:val="00972190"/>
    <w:rsid w:val="0097703D"/>
    <w:rsid w:val="00977745"/>
    <w:rsid w:val="00987E03"/>
    <w:rsid w:val="00990645"/>
    <w:rsid w:val="00991498"/>
    <w:rsid w:val="009914D8"/>
    <w:rsid w:val="00991956"/>
    <w:rsid w:val="009971E2"/>
    <w:rsid w:val="00997968"/>
    <w:rsid w:val="009A0E93"/>
    <w:rsid w:val="009A5AE5"/>
    <w:rsid w:val="009B04DB"/>
    <w:rsid w:val="009B09FD"/>
    <w:rsid w:val="009B1185"/>
    <w:rsid w:val="009B42A5"/>
    <w:rsid w:val="009B5624"/>
    <w:rsid w:val="009B6B85"/>
    <w:rsid w:val="009B7E45"/>
    <w:rsid w:val="009C016A"/>
    <w:rsid w:val="009C1EC3"/>
    <w:rsid w:val="009C2CD5"/>
    <w:rsid w:val="009C33B2"/>
    <w:rsid w:val="009C3FA6"/>
    <w:rsid w:val="009C4E92"/>
    <w:rsid w:val="009C73A4"/>
    <w:rsid w:val="009D0E47"/>
    <w:rsid w:val="009D1845"/>
    <w:rsid w:val="009D1B2C"/>
    <w:rsid w:val="009D20BF"/>
    <w:rsid w:val="009D3929"/>
    <w:rsid w:val="009D6791"/>
    <w:rsid w:val="009E0E34"/>
    <w:rsid w:val="009E10FE"/>
    <w:rsid w:val="009E1F83"/>
    <w:rsid w:val="009E2A64"/>
    <w:rsid w:val="009E4AEF"/>
    <w:rsid w:val="009E4D3A"/>
    <w:rsid w:val="009E4E99"/>
    <w:rsid w:val="009E5550"/>
    <w:rsid w:val="009E620A"/>
    <w:rsid w:val="009E6EB3"/>
    <w:rsid w:val="009F0BED"/>
    <w:rsid w:val="009F13D7"/>
    <w:rsid w:val="009F2C41"/>
    <w:rsid w:val="009F542F"/>
    <w:rsid w:val="009F7652"/>
    <w:rsid w:val="00A0039C"/>
    <w:rsid w:val="00A01D29"/>
    <w:rsid w:val="00A0337B"/>
    <w:rsid w:val="00A03B07"/>
    <w:rsid w:val="00A042A9"/>
    <w:rsid w:val="00A10B98"/>
    <w:rsid w:val="00A10C30"/>
    <w:rsid w:val="00A11A29"/>
    <w:rsid w:val="00A151DA"/>
    <w:rsid w:val="00A1616A"/>
    <w:rsid w:val="00A1790D"/>
    <w:rsid w:val="00A22655"/>
    <w:rsid w:val="00A25CC7"/>
    <w:rsid w:val="00A25FF8"/>
    <w:rsid w:val="00A26A0D"/>
    <w:rsid w:val="00A26A54"/>
    <w:rsid w:val="00A26E2D"/>
    <w:rsid w:val="00A270A4"/>
    <w:rsid w:val="00A27D89"/>
    <w:rsid w:val="00A30E27"/>
    <w:rsid w:val="00A32F33"/>
    <w:rsid w:val="00A34F4C"/>
    <w:rsid w:val="00A369AE"/>
    <w:rsid w:val="00A37436"/>
    <w:rsid w:val="00A378C4"/>
    <w:rsid w:val="00A4154A"/>
    <w:rsid w:val="00A418AC"/>
    <w:rsid w:val="00A44712"/>
    <w:rsid w:val="00A456D2"/>
    <w:rsid w:val="00A46C56"/>
    <w:rsid w:val="00A51FF7"/>
    <w:rsid w:val="00A55398"/>
    <w:rsid w:val="00A57476"/>
    <w:rsid w:val="00A608DA"/>
    <w:rsid w:val="00A6293B"/>
    <w:rsid w:val="00A642D8"/>
    <w:rsid w:val="00A726A9"/>
    <w:rsid w:val="00A74E51"/>
    <w:rsid w:val="00A75285"/>
    <w:rsid w:val="00A75673"/>
    <w:rsid w:val="00A75C3D"/>
    <w:rsid w:val="00A805E6"/>
    <w:rsid w:val="00A83E90"/>
    <w:rsid w:val="00A8485E"/>
    <w:rsid w:val="00A84B35"/>
    <w:rsid w:val="00A86884"/>
    <w:rsid w:val="00A869A6"/>
    <w:rsid w:val="00A87AF6"/>
    <w:rsid w:val="00A906A5"/>
    <w:rsid w:val="00A916D7"/>
    <w:rsid w:val="00A94CEF"/>
    <w:rsid w:val="00A97CEB"/>
    <w:rsid w:val="00AA0BF9"/>
    <w:rsid w:val="00AA0C71"/>
    <w:rsid w:val="00AA103F"/>
    <w:rsid w:val="00AA430D"/>
    <w:rsid w:val="00AB01A2"/>
    <w:rsid w:val="00AC241E"/>
    <w:rsid w:val="00AC306A"/>
    <w:rsid w:val="00AC4AD5"/>
    <w:rsid w:val="00AC6946"/>
    <w:rsid w:val="00AC6C40"/>
    <w:rsid w:val="00AD1A56"/>
    <w:rsid w:val="00AD2154"/>
    <w:rsid w:val="00AD6D83"/>
    <w:rsid w:val="00AD6E39"/>
    <w:rsid w:val="00AD7C29"/>
    <w:rsid w:val="00AE3603"/>
    <w:rsid w:val="00AE36FB"/>
    <w:rsid w:val="00AE46E7"/>
    <w:rsid w:val="00AE52E0"/>
    <w:rsid w:val="00AE70AA"/>
    <w:rsid w:val="00AE73AF"/>
    <w:rsid w:val="00AF033A"/>
    <w:rsid w:val="00AF041D"/>
    <w:rsid w:val="00AF2005"/>
    <w:rsid w:val="00AF3144"/>
    <w:rsid w:val="00AF48F7"/>
    <w:rsid w:val="00AF68B8"/>
    <w:rsid w:val="00AF690C"/>
    <w:rsid w:val="00B006F3"/>
    <w:rsid w:val="00B0124E"/>
    <w:rsid w:val="00B03857"/>
    <w:rsid w:val="00B12A25"/>
    <w:rsid w:val="00B12E3E"/>
    <w:rsid w:val="00B1420D"/>
    <w:rsid w:val="00B16AD1"/>
    <w:rsid w:val="00B2113E"/>
    <w:rsid w:val="00B2311C"/>
    <w:rsid w:val="00B264D4"/>
    <w:rsid w:val="00B272D8"/>
    <w:rsid w:val="00B309D6"/>
    <w:rsid w:val="00B33225"/>
    <w:rsid w:val="00B34971"/>
    <w:rsid w:val="00B3510B"/>
    <w:rsid w:val="00B35204"/>
    <w:rsid w:val="00B35647"/>
    <w:rsid w:val="00B37299"/>
    <w:rsid w:val="00B37B78"/>
    <w:rsid w:val="00B37F0D"/>
    <w:rsid w:val="00B40808"/>
    <w:rsid w:val="00B4287D"/>
    <w:rsid w:val="00B441F6"/>
    <w:rsid w:val="00B46D16"/>
    <w:rsid w:val="00B524BE"/>
    <w:rsid w:val="00B533CE"/>
    <w:rsid w:val="00B61323"/>
    <w:rsid w:val="00B63D69"/>
    <w:rsid w:val="00B63F10"/>
    <w:rsid w:val="00B6429A"/>
    <w:rsid w:val="00B64F5F"/>
    <w:rsid w:val="00B66918"/>
    <w:rsid w:val="00B66C6C"/>
    <w:rsid w:val="00B81AEF"/>
    <w:rsid w:val="00B83FEA"/>
    <w:rsid w:val="00B84932"/>
    <w:rsid w:val="00B865DD"/>
    <w:rsid w:val="00B87D2F"/>
    <w:rsid w:val="00B91F87"/>
    <w:rsid w:val="00B92DAA"/>
    <w:rsid w:val="00B93E00"/>
    <w:rsid w:val="00BA15D7"/>
    <w:rsid w:val="00BA4688"/>
    <w:rsid w:val="00BA538A"/>
    <w:rsid w:val="00BB2024"/>
    <w:rsid w:val="00BB3654"/>
    <w:rsid w:val="00BB48BE"/>
    <w:rsid w:val="00BB4BED"/>
    <w:rsid w:val="00BB4EDA"/>
    <w:rsid w:val="00BB57A0"/>
    <w:rsid w:val="00BB6BAF"/>
    <w:rsid w:val="00BC538C"/>
    <w:rsid w:val="00BC61BC"/>
    <w:rsid w:val="00BC6F93"/>
    <w:rsid w:val="00BD0749"/>
    <w:rsid w:val="00BD0A63"/>
    <w:rsid w:val="00BD30EC"/>
    <w:rsid w:val="00BE03CF"/>
    <w:rsid w:val="00BE3D03"/>
    <w:rsid w:val="00BE508F"/>
    <w:rsid w:val="00BF11EE"/>
    <w:rsid w:val="00BF1D76"/>
    <w:rsid w:val="00BF393F"/>
    <w:rsid w:val="00BF4FCA"/>
    <w:rsid w:val="00BF4FD7"/>
    <w:rsid w:val="00BF516E"/>
    <w:rsid w:val="00BF5B60"/>
    <w:rsid w:val="00C03190"/>
    <w:rsid w:val="00C04786"/>
    <w:rsid w:val="00C103B0"/>
    <w:rsid w:val="00C11533"/>
    <w:rsid w:val="00C15896"/>
    <w:rsid w:val="00C16111"/>
    <w:rsid w:val="00C17DBA"/>
    <w:rsid w:val="00C20135"/>
    <w:rsid w:val="00C20D1A"/>
    <w:rsid w:val="00C2140E"/>
    <w:rsid w:val="00C2465F"/>
    <w:rsid w:val="00C32B4B"/>
    <w:rsid w:val="00C33108"/>
    <w:rsid w:val="00C34653"/>
    <w:rsid w:val="00C34D90"/>
    <w:rsid w:val="00C34E3D"/>
    <w:rsid w:val="00C35F71"/>
    <w:rsid w:val="00C362E4"/>
    <w:rsid w:val="00C3704A"/>
    <w:rsid w:val="00C37899"/>
    <w:rsid w:val="00C4171F"/>
    <w:rsid w:val="00C41A22"/>
    <w:rsid w:val="00C41DD3"/>
    <w:rsid w:val="00C43690"/>
    <w:rsid w:val="00C436F3"/>
    <w:rsid w:val="00C451EB"/>
    <w:rsid w:val="00C45772"/>
    <w:rsid w:val="00C45E9A"/>
    <w:rsid w:val="00C503E5"/>
    <w:rsid w:val="00C50A53"/>
    <w:rsid w:val="00C51DAD"/>
    <w:rsid w:val="00C56B4F"/>
    <w:rsid w:val="00C57080"/>
    <w:rsid w:val="00C576F2"/>
    <w:rsid w:val="00C65153"/>
    <w:rsid w:val="00C714A3"/>
    <w:rsid w:val="00C74DD2"/>
    <w:rsid w:val="00C80BE6"/>
    <w:rsid w:val="00C83B45"/>
    <w:rsid w:val="00C8672D"/>
    <w:rsid w:val="00C9156A"/>
    <w:rsid w:val="00C935A2"/>
    <w:rsid w:val="00CA1876"/>
    <w:rsid w:val="00CA23BB"/>
    <w:rsid w:val="00CA253E"/>
    <w:rsid w:val="00CA2B25"/>
    <w:rsid w:val="00CA7094"/>
    <w:rsid w:val="00CB13B8"/>
    <w:rsid w:val="00CB199A"/>
    <w:rsid w:val="00CB3A7D"/>
    <w:rsid w:val="00CB7E13"/>
    <w:rsid w:val="00CC1392"/>
    <w:rsid w:val="00CC1C33"/>
    <w:rsid w:val="00CC32A5"/>
    <w:rsid w:val="00CC3CA0"/>
    <w:rsid w:val="00CC6298"/>
    <w:rsid w:val="00CD2B6F"/>
    <w:rsid w:val="00CD5F47"/>
    <w:rsid w:val="00CD627B"/>
    <w:rsid w:val="00CD6635"/>
    <w:rsid w:val="00CD7048"/>
    <w:rsid w:val="00CD717C"/>
    <w:rsid w:val="00CD729F"/>
    <w:rsid w:val="00CE6C84"/>
    <w:rsid w:val="00CE7964"/>
    <w:rsid w:val="00CF22D5"/>
    <w:rsid w:val="00CF480A"/>
    <w:rsid w:val="00CF552B"/>
    <w:rsid w:val="00CF7FBB"/>
    <w:rsid w:val="00D03165"/>
    <w:rsid w:val="00D05710"/>
    <w:rsid w:val="00D06B95"/>
    <w:rsid w:val="00D11738"/>
    <w:rsid w:val="00D12836"/>
    <w:rsid w:val="00D1326D"/>
    <w:rsid w:val="00D16832"/>
    <w:rsid w:val="00D17137"/>
    <w:rsid w:val="00D20F05"/>
    <w:rsid w:val="00D25274"/>
    <w:rsid w:val="00D26506"/>
    <w:rsid w:val="00D26790"/>
    <w:rsid w:val="00D27243"/>
    <w:rsid w:val="00D304FF"/>
    <w:rsid w:val="00D312BD"/>
    <w:rsid w:val="00D327AE"/>
    <w:rsid w:val="00D330A3"/>
    <w:rsid w:val="00D4145D"/>
    <w:rsid w:val="00D42614"/>
    <w:rsid w:val="00D42C4E"/>
    <w:rsid w:val="00D43BE5"/>
    <w:rsid w:val="00D4455E"/>
    <w:rsid w:val="00D45A58"/>
    <w:rsid w:val="00D4637B"/>
    <w:rsid w:val="00D46717"/>
    <w:rsid w:val="00D47285"/>
    <w:rsid w:val="00D5043D"/>
    <w:rsid w:val="00D509ED"/>
    <w:rsid w:val="00D5260E"/>
    <w:rsid w:val="00D52C46"/>
    <w:rsid w:val="00D601CB"/>
    <w:rsid w:val="00D6280F"/>
    <w:rsid w:val="00D64036"/>
    <w:rsid w:val="00D644CA"/>
    <w:rsid w:val="00D6537A"/>
    <w:rsid w:val="00D6567B"/>
    <w:rsid w:val="00D67671"/>
    <w:rsid w:val="00D71221"/>
    <w:rsid w:val="00D749EE"/>
    <w:rsid w:val="00D8213A"/>
    <w:rsid w:val="00D83144"/>
    <w:rsid w:val="00D862DE"/>
    <w:rsid w:val="00D96C87"/>
    <w:rsid w:val="00D97A56"/>
    <w:rsid w:val="00DA1DC6"/>
    <w:rsid w:val="00DA6CB0"/>
    <w:rsid w:val="00DB20A1"/>
    <w:rsid w:val="00DB2D76"/>
    <w:rsid w:val="00DB5676"/>
    <w:rsid w:val="00DC174F"/>
    <w:rsid w:val="00DC3C3C"/>
    <w:rsid w:val="00DC4310"/>
    <w:rsid w:val="00DC58AA"/>
    <w:rsid w:val="00DC5BA9"/>
    <w:rsid w:val="00DC7DE4"/>
    <w:rsid w:val="00DD072E"/>
    <w:rsid w:val="00DD2A12"/>
    <w:rsid w:val="00DD4462"/>
    <w:rsid w:val="00DD518C"/>
    <w:rsid w:val="00DD62F3"/>
    <w:rsid w:val="00DD7DD8"/>
    <w:rsid w:val="00DF20F2"/>
    <w:rsid w:val="00DF2587"/>
    <w:rsid w:val="00DF305E"/>
    <w:rsid w:val="00DF6DC2"/>
    <w:rsid w:val="00E04860"/>
    <w:rsid w:val="00E14BE7"/>
    <w:rsid w:val="00E15952"/>
    <w:rsid w:val="00E17217"/>
    <w:rsid w:val="00E22658"/>
    <w:rsid w:val="00E226E4"/>
    <w:rsid w:val="00E22ACC"/>
    <w:rsid w:val="00E237A8"/>
    <w:rsid w:val="00E2476F"/>
    <w:rsid w:val="00E24BD5"/>
    <w:rsid w:val="00E258DF"/>
    <w:rsid w:val="00E30382"/>
    <w:rsid w:val="00E30A3E"/>
    <w:rsid w:val="00E34B1A"/>
    <w:rsid w:val="00E3617D"/>
    <w:rsid w:val="00E36633"/>
    <w:rsid w:val="00E36EC9"/>
    <w:rsid w:val="00E41065"/>
    <w:rsid w:val="00E41B98"/>
    <w:rsid w:val="00E43165"/>
    <w:rsid w:val="00E43A17"/>
    <w:rsid w:val="00E43A6A"/>
    <w:rsid w:val="00E4420E"/>
    <w:rsid w:val="00E5216D"/>
    <w:rsid w:val="00E56DF8"/>
    <w:rsid w:val="00E570AA"/>
    <w:rsid w:val="00E57ED2"/>
    <w:rsid w:val="00E61F33"/>
    <w:rsid w:val="00E62AF6"/>
    <w:rsid w:val="00E6547F"/>
    <w:rsid w:val="00E65F72"/>
    <w:rsid w:val="00E70640"/>
    <w:rsid w:val="00E70801"/>
    <w:rsid w:val="00E7086C"/>
    <w:rsid w:val="00E70EF9"/>
    <w:rsid w:val="00E71126"/>
    <w:rsid w:val="00E71EE7"/>
    <w:rsid w:val="00E741E7"/>
    <w:rsid w:val="00E75D1B"/>
    <w:rsid w:val="00E77973"/>
    <w:rsid w:val="00E8282B"/>
    <w:rsid w:val="00E85774"/>
    <w:rsid w:val="00E85DD2"/>
    <w:rsid w:val="00E85EB9"/>
    <w:rsid w:val="00E86E99"/>
    <w:rsid w:val="00E873AC"/>
    <w:rsid w:val="00E879F0"/>
    <w:rsid w:val="00E939B8"/>
    <w:rsid w:val="00E95BBA"/>
    <w:rsid w:val="00EA1B62"/>
    <w:rsid w:val="00EA5AF1"/>
    <w:rsid w:val="00EA5DD3"/>
    <w:rsid w:val="00EA66CB"/>
    <w:rsid w:val="00EB03C9"/>
    <w:rsid w:val="00EB23C0"/>
    <w:rsid w:val="00EB2839"/>
    <w:rsid w:val="00EB3041"/>
    <w:rsid w:val="00EB3E51"/>
    <w:rsid w:val="00EB3F83"/>
    <w:rsid w:val="00EB4249"/>
    <w:rsid w:val="00EB4A34"/>
    <w:rsid w:val="00EB70A7"/>
    <w:rsid w:val="00EC0DEF"/>
    <w:rsid w:val="00EC12A6"/>
    <w:rsid w:val="00EC5DB6"/>
    <w:rsid w:val="00ED3018"/>
    <w:rsid w:val="00ED4276"/>
    <w:rsid w:val="00ED5AB5"/>
    <w:rsid w:val="00ED654B"/>
    <w:rsid w:val="00ED6E1C"/>
    <w:rsid w:val="00ED7FC5"/>
    <w:rsid w:val="00EE3074"/>
    <w:rsid w:val="00EE4AB6"/>
    <w:rsid w:val="00EE59DC"/>
    <w:rsid w:val="00EE5D87"/>
    <w:rsid w:val="00EF5365"/>
    <w:rsid w:val="00EF69D5"/>
    <w:rsid w:val="00F04DFB"/>
    <w:rsid w:val="00F06D5E"/>
    <w:rsid w:val="00F07B5D"/>
    <w:rsid w:val="00F07C1B"/>
    <w:rsid w:val="00F07D52"/>
    <w:rsid w:val="00F10233"/>
    <w:rsid w:val="00F10E7D"/>
    <w:rsid w:val="00F16135"/>
    <w:rsid w:val="00F16616"/>
    <w:rsid w:val="00F2277C"/>
    <w:rsid w:val="00F26327"/>
    <w:rsid w:val="00F340D6"/>
    <w:rsid w:val="00F40799"/>
    <w:rsid w:val="00F40DFC"/>
    <w:rsid w:val="00F41135"/>
    <w:rsid w:val="00F42985"/>
    <w:rsid w:val="00F432D5"/>
    <w:rsid w:val="00F44556"/>
    <w:rsid w:val="00F44DC3"/>
    <w:rsid w:val="00F45F60"/>
    <w:rsid w:val="00F468DA"/>
    <w:rsid w:val="00F4712A"/>
    <w:rsid w:val="00F472C7"/>
    <w:rsid w:val="00F50E4A"/>
    <w:rsid w:val="00F51F6C"/>
    <w:rsid w:val="00F5618B"/>
    <w:rsid w:val="00F566B0"/>
    <w:rsid w:val="00F56A03"/>
    <w:rsid w:val="00F663E0"/>
    <w:rsid w:val="00F727CE"/>
    <w:rsid w:val="00F73642"/>
    <w:rsid w:val="00F7458E"/>
    <w:rsid w:val="00F748DE"/>
    <w:rsid w:val="00F762E5"/>
    <w:rsid w:val="00F76EA0"/>
    <w:rsid w:val="00F772DD"/>
    <w:rsid w:val="00F84D74"/>
    <w:rsid w:val="00F874FC"/>
    <w:rsid w:val="00F91280"/>
    <w:rsid w:val="00F96E2F"/>
    <w:rsid w:val="00FA0FCD"/>
    <w:rsid w:val="00FA50E2"/>
    <w:rsid w:val="00FA52F8"/>
    <w:rsid w:val="00FA5C1A"/>
    <w:rsid w:val="00FA62EF"/>
    <w:rsid w:val="00FA6979"/>
    <w:rsid w:val="00FB023E"/>
    <w:rsid w:val="00FB06B7"/>
    <w:rsid w:val="00FB56F8"/>
    <w:rsid w:val="00FB5B07"/>
    <w:rsid w:val="00FC02FA"/>
    <w:rsid w:val="00FC1291"/>
    <w:rsid w:val="00FC2F5D"/>
    <w:rsid w:val="00FD0530"/>
    <w:rsid w:val="00FD6166"/>
    <w:rsid w:val="00FD6255"/>
    <w:rsid w:val="00FD7339"/>
    <w:rsid w:val="00FE3B43"/>
    <w:rsid w:val="00FE4245"/>
    <w:rsid w:val="00FE6157"/>
    <w:rsid w:val="00FF6F6E"/>
    <w:rsid w:val="01922563"/>
    <w:rsid w:val="047237B6"/>
    <w:rsid w:val="053561A2"/>
    <w:rsid w:val="05A5F452"/>
    <w:rsid w:val="05D4CAF2"/>
    <w:rsid w:val="07F9478B"/>
    <w:rsid w:val="08B780F6"/>
    <w:rsid w:val="0942E3E5"/>
    <w:rsid w:val="0D72DD67"/>
    <w:rsid w:val="0EA68F92"/>
    <w:rsid w:val="10C9BD20"/>
    <w:rsid w:val="112E6831"/>
    <w:rsid w:val="11F93A21"/>
    <w:rsid w:val="133C31CD"/>
    <w:rsid w:val="14306549"/>
    <w:rsid w:val="1518D82D"/>
    <w:rsid w:val="15383D0B"/>
    <w:rsid w:val="15556093"/>
    <w:rsid w:val="15C55990"/>
    <w:rsid w:val="15FF490E"/>
    <w:rsid w:val="1664FA73"/>
    <w:rsid w:val="1689B2B3"/>
    <w:rsid w:val="18D5994E"/>
    <w:rsid w:val="19462BFE"/>
    <w:rsid w:val="1ADB0BF3"/>
    <w:rsid w:val="1DE4231B"/>
    <w:rsid w:val="1F63A982"/>
    <w:rsid w:val="1F6DDC0C"/>
    <w:rsid w:val="1FC6E0A4"/>
    <w:rsid w:val="20C855EA"/>
    <w:rsid w:val="224F00C0"/>
    <w:rsid w:val="225DB355"/>
    <w:rsid w:val="226C3CDC"/>
    <w:rsid w:val="249FD0A9"/>
    <w:rsid w:val="24C9E782"/>
    <w:rsid w:val="24FBF3E8"/>
    <w:rsid w:val="2552ED5F"/>
    <w:rsid w:val="25936B06"/>
    <w:rsid w:val="25D8FA7C"/>
    <w:rsid w:val="2921D10C"/>
    <w:rsid w:val="294D0EB4"/>
    <w:rsid w:val="296F6D71"/>
    <w:rsid w:val="2A581F75"/>
    <w:rsid w:val="2AA3E022"/>
    <w:rsid w:val="2AD7B4F0"/>
    <w:rsid w:val="2AFBCF7E"/>
    <w:rsid w:val="2B91B339"/>
    <w:rsid w:val="2BCB6452"/>
    <w:rsid w:val="2C96FA21"/>
    <w:rsid w:val="2CA2CE7C"/>
    <w:rsid w:val="2E1223BD"/>
    <w:rsid w:val="3023D1FB"/>
    <w:rsid w:val="326A9A0A"/>
    <w:rsid w:val="328FDCD7"/>
    <w:rsid w:val="32AF90F9"/>
    <w:rsid w:val="32C40852"/>
    <w:rsid w:val="336E1333"/>
    <w:rsid w:val="340CC35F"/>
    <w:rsid w:val="35F72E99"/>
    <w:rsid w:val="372D99A4"/>
    <w:rsid w:val="389C4415"/>
    <w:rsid w:val="38AA802C"/>
    <w:rsid w:val="3D41E405"/>
    <w:rsid w:val="3D6881CE"/>
    <w:rsid w:val="3DBBF251"/>
    <w:rsid w:val="3E15288D"/>
    <w:rsid w:val="3E2CA26B"/>
    <w:rsid w:val="3EA7D3BD"/>
    <w:rsid w:val="405E38FA"/>
    <w:rsid w:val="40D63440"/>
    <w:rsid w:val="41E76B76"/>
    <w:rsid w:val="4244CFC4"/>
    <w:rsid w:val="42708D53"/>
    <w:rsid w:val="442AA1DE"/>
    <w:rsid w:val="4440D4E3"/>
    <w:rsid w:val="44416C5B"/>
    <w:rsid w:val="44627B9A"/>
    <w:rsid w:val="44F7A345"/>
    <w:rsid w:val="4589CD7D"/>
    <w:rsid w:val="45B2B8F9"/>
    <w:rsid w:val="47A39CE1"/>
    <w:rsid w:val="486781F0"/>
    <w:rsid w:val="4B28F5C0"/>
    <w:rsid w:val="4BA3CF79"/>
    <w:rsid w:val="4CFA0E7E"/>
    <w:rsid w:val="4E7CF1A5"/>
    <w:rsid w:val="4EE1A89B"/>
    <w:rsid w:val="504A9295"/>
    <w:rsid w:val="5091DBB9"/>
    <w:rsid w:val="50AF28F3"/>
    <w:rsid w:val="5289D98C"/>
    <w:rsid w:val="528D2EAB"/>
    <w:rsid w:val="5411BBC8"/>
    <w:rsid w:val="542BCC2B"/>
    <w:rsid w:val="55498CB0"/>
    <w:rsid w:val="5556D348"/>
    <w:rsid w:val="55B5D205"/>
    <w:rsid w:val="570F0679"/>
    <w:rsid w:val="57584BFB"/>
    <w:rsid w:val="5974BD94"/>
    <w:rsid w:val="5990AAB2"/>
    <w:rsid w:val="5AA3D97A"/>
    <w:rsid w:val="5AEB4B28"/>
    <w:rsid w:val="5B099D89"/>
    <w:rsid w:val="5BCE744B"/>
    <w:rsid w:val="5C516ED8"/>
    <w:rsid w:val="5C870A2A"/>
    <w:rsid w:val="5DA3981F"/>
    <w:rsid w:val="5DD4E992"/>
    <w:rsid w:val="5E120633"/>
    <w:rsid w:val="5EDD71F5"/>
    <w:rsid w:val="6177B01D"/>
    <w:rsid w:val="62064062"/>
    <w:rsid w:val="6298D539"/>
    <w:rsid w:val="65B01499"/>
    <w:rsid w:val="65D72C5F"/>
    <w:rsid w:val="661E568F"/>
    <w:rsid w:val="67C380E7"/>
    <w:rsid w:val="67C9E581"/>
    <w:rsid w:val="68138B38"/>
    <w:rsid w:val="6851F5A6"/>
    <w:rsid w:val="68B2145A"/>
    <w:rsid w:val="6919B4B9"/>
    <w:rsid w:val="69216988"/>
    <w:rsid w:val="69F27210"/>
    <w:rsid w:val="6A409DCE"/>
    <w:rsid w:val="6C37C351"/>
    <w:rsid w:val="6C86E415"/>
    <w:rsid w:val="6C8D8996"/>
    <w:rsid w:val="6EF48DA0"/>
    <w:rsid w:val="6F16E69F"/>
    <w:rsid w:val="7041CA6E"/>
    <w:rsid w:val="7134FDEA"/>
    <w:rsid w:val="7237EECE"/>
    <w:rsid w:val="74A65DD3"/>
    <w:rsid w:val="74DBDA7F"/>
    <w:rsid w:val="7525BA2B"/>
    <w:rsid w:val="75EFF2A9"/>
    <w:rsid w:val="76B9F787"/>
    <w:rsid w:val="78FE63F3"/>
    <w:rsid w:val="79056D6F"/>
    <w:rsid w:val="795EC56F"/>
    <w:rsid w:val="79DA27B6"/>
    <w:rsid w:val="7AA19114"/>
    <w:rsid w:val="7B11686D"/>
    <w:rsid w:val="7B49ED13"/>
    <w:rsid w:val="7B7E7279"/>
    <w:rsid w:val="7C8AC651"/>
    <w:rsid w:val="7DC9D32C"/>
    <w:rsid w:val="7DCD0A8E"/>
    <w:rsid w:val="7ED24DCA"/>
    <w:rsid w:val="7EEEE946"/>
    <w:rsid w:val="7F206022"/>
    <w:rsid w:val="7F73EF07"/>
    <w:rsid w:val="7F9AB443"/>
    <w:rsid w:val="7FB618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D3EF14"/>
  <w15:chartTrackingRefBased/>
  <w15:docId w15:val="{C55ADCBB-4B74-4C04-AB3C-2AFCF478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291"/>
  </w:style>
  <w:style w:type="paragraph" w:styleId="Heading1">
    <w:name w:val="heading 1"/>
    <w:basedOn w:val="Normal"/>
    <w:next w:val="Normal"/>
    <w:link w:val="Heading1Char"/>
    <w:uiPriority w:val="9"/>
    <w:qFormat/>
    <w:rsid w:val="00790D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0D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4B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526D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5E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5EB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90D5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90D53"/>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790D53"/>
    <w:pPr>
      <w:spacing w:after="0" w:line="240" w:lineRule="auto"/>
    </w:pPr>
  </w:style>
  <w:style w:type="paragraph" w:styleId="TOCHeading">
    <w:name w:val="TOC Heading"/>
    <w:basedOn w:val="Heading1"/>
    <w:next w:val="Normal"/>
    <w:uiPriority w:val="39"/>
    <w:unhideWhenUsed/>
    <w:qFormat/>
    <w:rsid w:val="00121572"/>
    <w:pPr>
      <w:outlineLvl w:val="9"/>
    </w:pPr>
  </w:style>
  <w:style w:type="paragraph" w:styleId="TOC1">
    <w:name w:val="toc 1"/>
    <w:basedOn w:val="Normal"/>
    <w:next w:val="Normal"/>
    <w:autoRedefine/>
    <w:uiPriority w:val="39"/>
    <w:unhideWhenUsed/>
    <w:rsid w:val="00121572"/>
    <w:pPr>
      <w:spacing w:after="100"/>
    </w:pPr>
  </w:style>
  <w:style w:type="paragraph" w:styleId="TOC2">
    <w:name w:val="toc 2"/>
    <w:basedOn w:val="Normal"/>
    <w:next w:val="Normal"/>
    <w:autoRedefine/>
    <w:uiPriority w:val="39"/>
    <w:unhideWhenUsed/>
    <w:rsid w:val="00121572"/>
    <w:pPr>
      <w:spacing w:after="100"/>
      <w:ind w:left="220"/>
    </w:pPr>
  </w:style>
  <w:style w:type="character" w:styleId="Hyperlink">
    <w:name w:val="Hyperlink"/>
    <w:basedOn w:val="DefaultParagraphFont"/>
    <w:uiPriority w:val="99"/>
    <w:unhideWhenUsed/>
    <w:rsid w:val="00121572"/>
    <w:rPr>
      <w:color w:val="0563C1" w:themeColor="hyperlink"/>
      <w:u w:val="single"/>
    </w:rPr>
  </w:style>
  <w:style w:type="character" w:customStyle="1" w:styleId="Heading3Char">
    <w:name w:val="Heading 3 Char"/>
    <w:basedOn w:val="DefaultParagraphFont"/>
    <w:link w:val="Heading3"/>
    <w:uiPriority w:val="9"/>
    <w:rsid w:val="00E34B1A"/>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D46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63CA"/>
    <w:rPr>
      <w:sz w:val="16"/>
      <w:szCs w:val="16"/>
    </w:rPr>
  </w:style>
  <w:style w:type="paragraph" w:styleId="CommentText">
    <w:name w:val="annotation text"/>
    <w:basedOn w:val="Normal"/>
    <w:link w:val="CommentTextChar"/>
    <w:uiPriority w:val="99"/>
    <w:unhideWhenUsed/>
    <w:rsid w:val="002E63CA"/>
    <w:pPr>
      <w:spacing w:line="240" w:lineRule="auto"/>
    </w:pPr>
    <w:rPr>
      <w:sz w:val="20"/>
      <w:szCs w:val="20"/>
    </w:rPr>
  </w:style>
  <w:style w:type="character" w:customStyle="1" w:styleId="CommentTextChar">
    <w:name w:val="Comment Text Char"/>
    <w:basedOn w:val="DefaultParagraphFont"/>
    <w:link w:val="CommentText"/>
    <w:uiPriority w:val="99"/>
    <w:rsid w:val="002E63CA"/>
    <w:rPr>
      <w:sz w:val="20"/>
      <w:szCs w:val="20"/>
    </w:rPr>
  </w:style>
  <w:style w:type="character" w:customStyle="1" w:styleId="UnresolvedMention1">
    <w:name w:val="Unresolved Mention1"/>
    <w:basedOn w:val="DefaultParagraphFont"/>
    <w:uiPriority w:val="99"/>
    <w:unhideWhenUsed/>
    <w:rsid w:val="00DF258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C1856"/>
    <w:rPr>
      <w:b/>
      <w:bCs/>
    </w:rPr>
  </w:style>
  <w:style w:type="character" w:customStyle="1" w:styleId="CommentSubjectChar">
    <w:name w:val="Comment Subject Char"/>
    <w:basedOn w:val="CommentTextChar"/>
    <w:link w:val="CommentSubject"/>
    <w:uiPriority w:val="99"/>
    <w:semiHidden/>
    <w:rsid w:val="004C1856"/>
    <w:rPr>
      <w:b/>
      <w:bCs/>
      <w:sz w:val="20"/>
      <w:szCs w:val="20"/>
    </w:rPr>
  </w:style>
  <w:style w:type="paragraph" w:styleId="ListParagraph">
    <w:name w:val="List Paragraph"/>
    <w:basedOn w:val="Normal"/>
    <w:uiPriority w:val="34"/>
    <w:qFormat/>
    <w:rsid w:val="00E7086C"/>
    <w:pPr>
      <w:ind w:left="720"/>
      <w:contextualSpacing/>
    </w:pPr>
  </w:style>
  <w:style w:type="paragraph" w:styleId="TOC3">
    <w:name w:val="toc 3"/>
    <w:basedOn w:val="Normal"/>
    <w:next w:val="Normal"/>
    <w:autoRedefine/>
    <w:uiPriority w:val="39"/>
    <w:unhideWhenUsed/>
    <w:rsid w:val="00CD7048"/>
    <w:pPr>
      <w:spacing w:after="100"/>
      <w:ind w:left="440"/>
    </w:pPr>
  </w:style>
  <w:style w:type="character" w:styleId="FollowedHyperlink">
    <w:name w:val="FollowedHyperlink"/>
    <w:basedOn w:val="DefaultParagraphFont"/>
    <w:uiPriority w:val="99"/>
    <w:semiHidden/>
    <w:unhideWhenUsed/>
    <w:rsid w:val="00280FD4"/>
    <w:rPr>
      <w:color w:val="954F72" w:themeColor="followedHyperlink"/>
      <w:u w:val="single"/>
    </w:rPr>
  </w:style>
  <w:style w:type="character" w:customStyle="1" w:styleId="Heading4Char">
    <w:name w:val="Heading 4 Char"/>
    <w:basedOn w:val="DefaultParagraphFont"/>
    <w:link w:val="Heading4"/>
    <w:uiPriority w:val="9"/>
    <w:rsid w:val="006526D3"/>
    <w:rPr>
      <w:rFonts w:asciiTheme="majorHAnsi" w:eastAsiaTheme="majorEastAsia" w:hAnsiTheme="majorHAnsi" w:cstheme="majorBidi"/>
      <w:i/>
      <w:iCs/>
      <w:color w:val="2F5496" w:themeColor="accent1" w:themeShade="BF"/>
    </w:rPr>
  </w:style>
  <w:style w:type="paragraph" w:customStyle="1" w:styleId="paragraph">
    <w:name w:val="paragraph"/>
    <w:basedOn w:val="Normal"/>
    <w:rsid w:val="007209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209D2"/>
  </w:style>
  <w:style w:type="character" w:customStyle="1" w:styleId="eop">
    <w:name w:val="eop"/>
    <w:basedOn w:val="DefaultParagraphFont"/>
    <w:rsid w:val="007209D2"/>
  </w:style>
  <w:style w:type="paragraph" w:styleId="Header">
    <w:name w:val="header"/>
    <w:basedOn w:val="Normal"/>
    <w:link w:val="HeaderChar"/>
    <w:uiPriority w:val="99"/>
    <w:unhideWhenUsed/>
    <w:rsid w:val="00A62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93B"/>
  </w:style>
  <w:style w:type="paragraph" w:styleId="Footer">
    <w:name w:val="footer"/>
    <w:basedOn w:val="Normal"/>
    <w:link w:val="FooterChar"/>
    <w:uiPriority w:val="99"/>
    <w:unhideWhenUsed/>
    <w:rsid w:val="00A62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93B"/>
  </w:style>
  <w:style w:type="paragraph" w:styleId="BalloonText">
    <w:name w:val="Balloon Text"/>
    <w:basedOn w:val="Normal"/>
    <w:link w:val="BalloonTextChar"/>
    <w:uiPriority w:val="99"/>
    <w:semiHidden/>
    <w:unhideWhenUsed/>
    <w:rsid w:val="002A0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95B"/>
    <w:rPr>
      <w:rFonts w:ascii="Segoe UI" w:hAnsi="Segoe UI" w:cs="Segoe UI"/>
      <w:sz w:val="18"/>
      <w:szCs w:val="18"/>
    </w:rPr>
  </w:style>
  <w:style w:type="paragraph" w:styleId="FootnoteText">
    <w:name w:val="footnote text"/>
    <w:basedOn w:val="Normal"/>
    <w:link w:val="FootnoteTextChar"/>
    <w:uiPriority w:val="99"/>
    <w:semiHidden/>
    <w:unhideWhenUsed/>
    <w:rsid w:val="00BB6B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6BAF"/>
    <w:rPr>
      <w:sz w:val="20"/>
      <w:szCs w:val="20"/>
    </w:rPr>
  </w:style>
  <w:style w:type="character" w:styleId="FootnoteReference">
    <w:name w:val="footnote reference"/>
    <w:basedOn w:val="DefaultParagraphFont"/>
    <w:uiPriority w:val="99"/>
    <w:semiHidden/>
    <w:unhideWhenUsed/>
    <w:rsid w:val="00BB6BAF"/>
    <w:rPr>
      <w:vertAlign w:val="superscript"/>
    </w:rPr>
  </w:style>
  <w:style w:type="character" w:customStyle="1" w:styleId="Mention1">
    <w:name w:val="Mention1"/>
    <w:basedOn w:val="DefaultParagraphFont"/>
    <w:uiPriority w:val="99"/>
    <w:unhideWhenUsed/>
    <w:rsid w:val="00224D86"/>
    <w:rPr>
      <w:color w:val="2B579A"/>
      <w:shd w:val="clear" w:color="auto" w:fill="E1DFDD"/>
    </w:rPr>
  </w:style>
  <w:style w:type="paragraph" w:styleId="Revision">
    <w:name w:val="Revision"/>
    <w:hidden/>
    <w:uiPriority w:val="99"/>
    <w:semiHidden/>
    <w:rsid w:val="006E36B6"/>
    <w:pPr>
      <w:spacing w:after="0" w:line="240" w:lineRule="auto"/>
    </w:pPr>
  </w:style>
  <w:style w:type="character" w:styleId="UnresolvedMention">
    <w:name w:val="Unresolved Mention"/>
    <w:basedOn w:val="DefaultParagraphFont"/>
    <w:uiPriority w:val="99"/>
    <w:semiHidden/>
    <w:unhideWhenUsed/>
    <w:rsid w:val="006A2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066236">
      <w:bodyDiv w:val="1"/>
      <w:marLeft w:val="0"/>
      <w:marRight w:val="0"/>
      <w:marTop w:val="0"/>
      <w:marBottom w:val="0"/>
      <w:divBdr>
        <w:top w:val="none" w:sz="0" w:space="0" w:color="auto"/>
        <w:left w:val="none" w:sz="0" w:space="0" w:color="auto"/>
        <w:bottom w:val="none" w:sz="0" w:space="0" w:color="auto"/>
        <w:right w:val="none" w:sz="0" w:space="0" w:color="auto"/>
      </w:divBdr>
    </w:div>
    <w:div w:id="1289433277">
      <w:bodyDiv w:val="1"/>
      <w:marLeft w:val="0"/>
      <w:marRight w:val="0"/>
      <w:marTop w:val="0"/>
      <w:marBottom w:val="0"/>
      <w:divBdr>
        <w:top w:val="none" w:sz="0" w:space="0" w:color="auto"/>
        <w:left w:val="none" w:sz="0" w:space="0" w:color="auto"/>
        <w:bottom w:val="none" w:sz="0" w:space="0" w:color="auto"/>
        <w:right w:val="none" w:sz="0" w:space="0" w:color="auto"/>
      </w:divBdr>
    </w:div>
    <w:div w:id="2084645521">
      <w:bodyDiv w:val="1"/>
      <w:marLeft w:val="0"/>
      <w:marRight w:val="0"/>
      <w:marTop w:val="0"/>
      <w:marBottom w:val="0"/>
      <w:divBdr>
        <w:top w:val="none" w:sz="0" w:space="0" w:color="auto"/>
        <w:left w:val="none" w:sz="0" w:space="0" w:color="auto"/>
        <w:bottom w:val="none" w:sz="0" w:space="0" w:color="auto"/>
        <w:right w:val="none" w:sz="0" w:space="0" w:color="auto"/>
      </w:divBdr>
      <w:divsChild>
        <w:div w:id="311448366">
          <w:marLeft w:val="0"/>
          <w:marRight w:val="0"/>
          <w:marTop w:val="0"/>
          <w:marBottom w:val="0"/>
          <w:divBdr>
            <w:top w:val="none" w:sz="0" w:space="0" w:color="auto"/>
            <w:left w:val="none" w:sz="0" w:space="0" w:color="auto"/>
            <w:bottom w:val="none" w:sz="0" w:space="0" w:color="auto"/>
            <w:right w:val="none" w:sz="0" w:space="0" w:color="auto"/>
          </w:divBdr>
          <w:divsChild>
            <w:div w:id="154759193">
              <w:marLeft w:val="0"/>
              <w:marRight w:val="0"/>
              <w:marTop w:val="0"/>
              <w:marBottom w:val="0"/>
              <w:divBdr>
                <w:top w:val="none" w:sz="0" w:space="0" w:color="auto"/>
                <w:left w:val="none" w:sz="0" w:space="0" w:color="auto"/>
                <w:bottom w:val="none" w:sz="0" w:space="0" w:color="auto"/>
                <w:right w:val="none" w:sz="0" w:space="0" w:color="auto"/>
              </w:divBdr>
            </w:div>
          </w:divsChild>
        </w:div>
        <w:div w:id="885219211">
          <w:marLeft w:val="0"/>
          <w:marRight w:val="0"/>
          <w:marTop w:val="0"/>
          <w:marBottom w:val="0"/>
          <w:divBdr>
            <w:top w:val="none" w:sz="0" w:space="0" w:color="auto"/>
            <w:left w:val="none" w:sz="0" w:space="0" w:color="auto"/>
            <w:bottom w:val="none" w:sz="0" w:space="0" w:color="auto"/>
            <w:right w:val="none" w:sz="0" w:space="0" w:color="auto"/>
          </w:divBdr>
          <w:divsChild>
            <w:div w:id="6188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ome.treasury.gov/policy-issues/coronavirus/assistance-for-state-local-and-tribal-governments/state-and-local-fiscal-recovery-fund/non-entitlement-units" TargetMode="External"/><Relationship Id="rId18" Type="http://schemas.openxmlformats.org/officeDocument/2006/relationships/hyperlink" Target="https://home.treasury.gov/system/files/136/SLFRF-Final-Rule.pdf" TargetMode="External"/><Relationship Id="rId26" Type="http://schemas.openxmlformats.org/officeDocument/2006/relationships/hyperlink" Target="https://www.sam.gov/" TargetMode="External"/><Relationship Id="rId3" Type="http://schemas.openxmlformats.org/officeDocument/2006/relationships/customXml" Target="../customXml/item3.xml"/><Relationship Id="rId21" Type="http://schemas.openxmlformats.org/officeDocument/2006/relationships/hyperlink" Target="https://www.ecfr.gov/current/title-41/subtitle-B/chapter-60/part-60-1/subpart-A/section-60-1.4" TargetMode="Externa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hyperlink" Target="https://home.treasury.gov/system/files/136/SLFRF-Final-Rule.pdf" TargetMode="External"/><Relationship Id="rId25" Type="http://schemas.openxmlformats.org/officeDocument/2006/relationships/hyperlink" Target="https://www.ecfr.gov/current/title-40/part-247"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ome.treasury.gov/policy-issues/coronavirus/assistance-for-state-local-and-tribal-governments/state-and-local-fiscal-recovery-fund/non-entitlement-units" TargetMode="External"/><Relationship Id="rId20" Type="http://schemas.openxmlformats.org/officeDocument/2006/relationships/hyperlink" Target="https://www.ecfr.gov/current/title-2/subtitle-A/chapter-II/part-200/appendix-Appendix%20II%20to%20Part%20200"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law.cornell.edu/topn/solid_waste_disposal_ac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home.treasury.gov/system/files/136/SLFRF-Compliance-and-Reporting-Guidance.pdf" TargetMode="External"/><Relationship Id="rId23" Type="http://schemas.openxmlformats.org/officeDocument/2006/relationships/hyperlink" Target="https://www.ecfr.gov/current/title-37/chapter-IV/part-401" TargetMode="External"/><Relationship Id="rId28" Type="http://schemas.openxmlformats.org/officeDocument/2006/relationships/hyperlink" Target="https://new-hampshire.secure.force.com/support/GOV_GOFERR_Inquiry" TargetMode="External"/><Relationship Id="rId10" Type="http://schemas.openxmlformats.org/officeDocument/2006/relationships/endnotes" Target="endnotes.xml"/><Relationship Id="rId19" Type="http://schemas.openxmlformats.org/officeDocument/2006/relationships/hyperlink" Target="https://www.law.cornell.edu/cfr/text/2/200.318"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hampshire.secure.force.com/support/GOV_GOFERR_Inquiry" TargetMode="External"/><Relationship Id="rId22" Type="http://schemas.openxmlformats.org/officeDocument/2006/relationships/hyperlink" Target="https://home.treasury.gov/system/files/136/SLFRF-Compliance-and-Reporting-Guidance.pdf" TargetMode="External"/><Relationship Id="rId27" Type="http://schemas.openxmlformats.org/officeDocument/2006/relationships/hyperlink" Target="https://home.treasury.gov/policy-issues/coronavirus/assistance-for-state-local-and-tribal-governments/state-and-local-fiscal-recovery-fund/non-entitlement-units" TargetMode="External"/><Relationship Id="rId30" Type="http://schemas.openxmlformats.org/officeDocument/2006/relationships/package" Target="embeddings/Microsoft_Excel_Worksheet.xlsx"/><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ecfr.gov/current/title-2/subtitle-A/chapter-II/part-200?to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11DE150D903647AF6595931C21CDC9" ma:contentTypeVersion="6" ma:contentTypeDescription="Create a new document." ma:contentTypeScope="" ma:versionID="070bb20b71d0421823263b8242471751">
  <xsd:schema xmlns:xsd="http://www.w3.org/2001/XMLSchema" xmlns:xs="http://www.w3.org/2001/XMLSchema" xmlns:p="http://schemas.microsoft.com/office/2006/metadata/properties" xmlns:ns2="46c94151-13e3-46b9-aa39-9f69992faf53" xmlns:ns3="a00fdb7d-2dc8-4bac-9a07-5f057fe3f895" targetNamespace="http://schemas.microsoft.com/office/2006/metadata/properties" ma:root="true" ma:fieldsID="b0210ed6318c4998c787b77247555d5b" ns2:_="" ns3:_="">
    <xsd:import namespace="46c94151-13e3-46b9-aa39-9f69992faf53"/>
    <xsd:import namespace="a00fdb7d-2dc8-4bac-9a07-5f057fe3f8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94151-13e3-46b9-aa39-9f69992fa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0fdb7d-2dc8-4bac-9a07-5f057fe3f8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918779-89C7-46E0-B332-CC1538222E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87B4F8-D06A-446F-AB92-2499FCCA5CBF}">
  <ds:schemaRefs>
    <ds:schemaRef ds:uri="http://schemas.openxmlformats.org/officeDocument/2006/bibliography"/>
  </ds:schemaRefs>
</ds:datastoreItem>
</file>

<file path=customXml/itemProps3.xml><?xml version="1.0" encoding="utf-8"?>
<ds:datastoreItem xmlns:ds="http://schemas.openxmlformats.org/officeDocument/2006/customXml" ds:itemID="{79056F92-9235-43F6-B8B2-BBE4AE14CB15}">
  <ds:schemaRefs>
    <ds:schemaRef ds:uri="http://schemas.microsoft.com/sharepoint/v3/contenttype/forms"/>
  </ds:schemaRefs>
</ds:datastoreItem>
</file>

<file path=customXml/itemProps4.xml><?xml version="1.0" encoding="utf-8"?>
<ds:datastoreItem xmlns:ds="http://schemas.openxmlformats.org/officeDocument/2006/customXml" ds:itemID="{A9191777-094F-442B-AEB4-C5113E61C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94151-13e3-46b9-aa39-9f69992faf53"/>
    <ds:schemaRef ds:uri="a00fdb7d-2dc8-4bac-9a07-5f057fe3f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5544</Words>
  <Characters>31606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37076</CharactersWithSpaces>
  <SharedDoc>false</SharedDoc>
  <HLinks>
    <vt:vector size="222" baseType="variant">
      <vt:variant>
        <vt:i4>3801196</vt:i4>
      </vt:variant>
      <vt:variant>
        <vt:i4>162</vt:i4>
      </vt:variant>
      <vt:variant>
        <vt:i4>0</vt:i4>
      </vt:variant>
      <vt:variant>
        <vt:i4>5</vt:i4>
      </vt:variant>
      <vt:variant>
        <vt:lpwstr>https://new-hampshire.secure.force.com/support/GOV_GOFERR_Inquiry</vt:lpwstr>
      </vt:variant>
      <vt:variant>
        <vt:lpwstr/>
      </vt:variant>
      <vt:variant>
        <vt:i4>8126585</vt:i4>
      </vt:variant>
      <vt:variant>
        <vt:i4>159</vt:i4>
      </vt:variant>
      <vt:variant>
        <vt:i4>0</vt:i4>
      </vt:variant>
      <vt:variant>
        <vt:i4>5</vt:i4>
      </vt:variant>
      <vt:variant>
        <vt:lpwstr>https://home.treasury.gov/policy-issues/coronavirus/assistance-for-state-local-and-tribal-governments/state-and-local-fiscal-recovery-funds/recipient-compliance-and-reporting-responsibilities</vt:lpwstr>
      </vt:variant>
      <vt:variant>
        <vt:lpwstr/>
      </vt:variant>
      <vt:variant>
        <vt:i4>4653135</vt:i4>
      </vt:variant>
      <vt:variant>
        <vt:i4>156</vt:i4>
      </vt:variant>
      <vt:variant>
        <vt:i4>0</vt:i4>
      </vt:variant>
      <vt:variant>
        <vt:i4>5</vt:i4>
      </vt:variant>
      <vt:variant>
        <vt:lpwstr>https://www.sam.gov/</vt:lpwstr>
      </vt:variant>
      <vt:variant>
        <vt:lpwstr/>
      </vt:variant>
      <vt:variant>
        <vt:i4>2490472</vt:i4>
      </vt:variant>
      <vt:variant>
        <vt:i4>153</vt:i4>
      </vt:variant>
      <vt:variant>
        <vt:i4>0</vt:i4>
      </vt:variant>
      <vt:variant>
        <vt:i4>5</vt:i4>
      </vt:variant>
      <vt:variant>
        <vt:lpwstr>https://www.ecfr.gov/current/title-40/part-247</vt:lpwstr>
      </vt:variant>
      <vt:variant>
        <vt:lpwstr/>
      </vt:variant>
      <vt:variant>
        <vt:i4>3211276</vt:i4>
      </vt:variant>
      <vt:variant>
        <vt:i4>150</vt:i4>
      </vt:variant>
      <vt:variant>
        <vt:i4>0</vt:i4>
      </vt:variant>
      <vt:variant>
        <vt:i4>5</vt:i4>
      </vt:variant>
      <vt:variant>
        <vt:lpwstr>https://www.law.cornell.edu/topn/solid_waste_disposal_act</vt:lpwstr>
      </vt:variant>
      <vt:variant>
        <vt:lpwstr/>
      </vt:variant>
      <vt:variant>
        <vt:i4>524311</vt:i4>
      </vt:variant>
      <vt:variant>
        <vt:i4>147</vt:i4>
      </vt:variant>
      <vt:variant>
        <vt:i4>0</vt:i4>
      </vt:variant>
      <vt:variant>
        <vt:i4>5</vt:i4>
      </vt:variant>
      <vt:variant>
        <vt:lpwstr>https://www.ecfr.gov/current/title-37/chapter-IV/part-401</vt:lpwstr>
      </vt:variant>
      <vt:variant>
        <vt:lpwstr/>
      </vt:variant>
      <vt:variant>
        <vt:i4>3604579</vt:i4>
      </vt:variant>
      <vt:variant>
        <vt:i4>144</vt:i4>
      </vt:variant>
      <vt:variant>
        <vt:i4>0</vt:i4>
      </vt:variant>
      <vt:variant>
        <vt:i4>5</vt:i4>
      </vt:variant>
      <vt:variant>
        <vt:lpwstr>https://home.treasury.gov/system/files/136/SLFRF-Compliance-and-Reporting-Guidance.pdf</vt:lpwstr>
      </vt:variant>
      <vt:variant>
        <vt:lpwstr/>
      </vt:variant>
      <vt:variant>
        <vt:i4>7012461</vt:i4>
      </vt:variant>
      <vt:variant>
        <vt:i4>141</vt:i4>
      </vt:variant>
      <vt:variant>
        <vt:i4>0</vt:i4>
      </vt:variant>
      <vt:variant>
        <vt:i4>5</vt:i4>
      </vt:variant>
      <vt:variant>
        <vt:lpwstr>https://www.ecfr.gov/current/title-41/subtitle-B/chapter-60/part-60-1/subpart-A/section-60-1.4</vt:lpwstr>
      </vt:variant>
      <vt:variant>
        <vt:lpwstr/>
      </vt:variant>
      <vt:variant>
        <vt:i4>1376334</vt:i4>
      </vt:variant>
      <vt:variant>
        <vt:i4>138</vt:i4>
      </vt:variant>
      <vt:variant>
        <vt:i4>0</vt:i4>
      </vt:variant>
      <vt:variant>
        <vt:i4>5</vt:i4>
      </vt:variant>
      <vt:variant>
        <vt:lpwstr>https://www.ecfr.gov/current/title-2/subtitle-A/chapter-II/part-200/appendix-Appendix II to Part 200</vt:lpwstr>
      </vt:variant>
      <vt:variant>
        <vt:lpwstr/>
      </vt:variant>
      <vt:variant>
        <vt:i4>7077985</vt:i4>
      </vt:variant>
      <vt:variant>
        <vt:i4>135</vt:i4>
      </vt:variant>
      <vt:variant>
        <vt:i4>0</vt:i4>
      </vt:variant>
      <vt:variant>
        <vt:i4>5</vt:i4>
      </vt:variant>
      <vt:variant>
        <vt:lpwstr>https://www.law.cornell.edu/cfr/text/2/200.318</vt:lpwstr>
      </vt:variant>
      <vt:variant>
        <vt:lpwstr/>
      </vt:variant>
      <vt:variant>
        <vt:i4>3604579</vt:i4>
      </vt:variant>
      <vt:variant>
        <vt:i4>132</vt:i4>
      </vt:variant>
      <vt:variant>
        <vt:i4>0</vt:i4>
      </vt:variant>
      <vt:variant>
        <vt:i4>5</vt:i4>
      </vt:variant>
      <vt:variant>
        <vt:lpwstr>https://home.treasury.gov/system/files/136/SLFRF-Compliance-and-Reporting-Guidance.pdf</vt:lpwstr>
      </vt:variant>
      <vt:variant>
        <vt:lpwstr/>
      </vt:variant>
      <vt:variant>
        <vt:i4>4194387</vt:i4>
      </vt:variant>
      <vt:variant>
        <vt:i4>129</vt:i4>
      </vt:variant>
      <vt:variant>
        <vt:i4>0</vt:i4>
      </vt:variant>
      <vt:variant>
        <vt:i4>5</vt:i4>
      </vt:variant>
      <vt:variant>
        <vt:lpwstr>https://www.govinfo.gov/content/pkg/FR-2021-05-17/pdf/2021-10283.pdf</vt:lpwstr>
      </vt:variant>
      <vt:variant>
        <vt:lpwstr/>
      </vt:variant>
      <vt:variant>
        <vt:i4>983040</vt:i4>
      </vt:variant>
      <vt:variant>
        <vt:i4>126</vt:i4>
      </vt:variant>
      <vt:variant>
        <vt:i4>0</vt:i4>
      </vt:variant>
      <vt:variant>
        <vt:i4>5</vt:i4>
      </vt:variant>
      <vt:variant>
        <vt:lpwstr>https://home.treasury.gov/policy-issues/coronavirus/assistance-for-state-local-and-tribal-governments/state-and-local-fiscal-recovery-fund/non-entitlement-units</vt:lpwstr>
      </vt:variant>
      <vt:variant>
        <vt:lpwstr/>
      </vt:variant>
      <vt:variant>
        <vt:i4>3604579</vt:i4>
      </vt:variant>
      <vt:variant>
        <vt:i4>123</vt:i4>
      </vt:variant>
      <vt:variant>
        <vt:i4>0</vt:i4>
      </vt:variant>
      <vt:variant>
        <vt:i4>5</vt:i4>
      </vt:variant>
      <vt:variant>
        <vt:lpwstr>https://home.treasury.gov/system/files/136/SLFRF-Compliance-and-Reporting-Guidance.pdf</vt:lpwstr>
      </vt:variant>
      <vt:variant>
        <vt:lpwstr/>
      </vt:variant>
      <vt:variant>
        <vt:i4>3801196</vt:i4>
      </vt:variant>
      <vt:variant>
        <vt:i4>120</vt:i4>
      </vt:variant>
      <vt:variant>
        <vt:i4>0</vt:i4>
      </vt:variant>
      <vt:variant>
        <vt:i4>5</vt:i4>
      </vt:variant>
      <vt:variant>
        <vt:lpwstr>https://new-hampshire.secure.force.com/support/GOV_GOFERR_Inquiry</vt:lpwstr>
      </vt:variant>
      <vt:variant>
        <vt:lpwstr/>
      </vt:variant>
      <vt:variant>
        <vt:i4>8126585</vt:i4>
      </vt:variant>
      <vt:variant>
        <vt:i4>117</vt:i4>
      </vt:variant>
      <vt:variant>
        <vt:i4>0</vt:i4>
      </vt:variant>
      <vt:variant>
        <vt:i4>5</vt:i4>
      </vt:variant>
      <vt:variant>
        <vt:lpwstr>https://home.treasury.gov/policy-issues/coronavirus/assistance-for-state-local-and-tribal-governments/state-and-local-fiscal-recovery-funds/recipient-compliance-and-reporting-responsibilities</vt:lpwstr>
      </vt:variant>
      <vt:variant>
        <vt:lpwstr/>
      </vt:variant>
      <vt:variant>
        <vt:i4>1507391</vt:i4>
      </vt:variant>
      <vt:variant>
        <vt:i4>110</vt:i4>
      </vt:variant>
      <vt:variant>
        <vt:i4>0</vt:i4>
      </vt:variant>
      <vt:variant>
        <vt:i4>5</vt:i4>
      </vt:variant>
      <vt:variant>
        <vt:lpwstr/>
      </vt:variant>
      <vt:variant>
        <vt:lpwstr>_Toc85442011</vt:lpwstr>
      </vt:variant>
      <vt:variant>
        <vt:i4>1441855</vt:i4>
      </vt:variant>
      <vt:variant>
        <vt:i4>104</vt:i4>
      </vt:variant>
      <vt:variant>
        <vt:i4>0</vt:i4>
      </vt:variant>
      <vt:variant>
        <vt:i4>5</vt:i4>
      </vt:variant>
      <vt:variant>
        <vt:lpwstr/>
      </vt:variant>
      <vt:variant>
        <vt:lpwstr>_Toc85442010</vt:lpwstr>
      </vt:variant>
      <vt:variant>
        <vt:i4>2031678</vt:i4>
      </vt:variant>
      <vt:variant>
        <vt:i4>98</vt:i4>
      </vt:variant>
      <vt:variant>
        <vt:i4>0</vt:i4>
      </vt:variant>
      <vt:variant>
        <vt:i4>5</vt:i4>
      </vt:variant>
      <vt:variant>
        <vt:lpwstr/>
      </vt:variant>
      <vt:variant>
        <vt:lpwstr>_Toc85442009</vt:lpwstr>
      </vt:variant>
      <vt:variant>
        <vt:i4>1966142</vt:i4>
      </vt:variant>
      <vt:variant>
        <vt:i4>92</vt:i4>
      </vt:variant>
      <vt:variant>
        <vt:i4>0</vt:i4>
      </vt:variant>
      <vt:variant>
        <vt:i4>5</vt:i4>
      </vt:variant>
      <vt:variant>
        <vt:lpwstr/>
      </vt:variant>
      <vt:variant>
        <vt:lpwstr>_Toc85442008</vt:lpwstr>
      </vt:variant>
      <vt:variant>
        <vt:i4>1114174</vt:i4>
      </vt:variant>
      <vt:variant>
        <vt:i4>86</vt:i4>
      </vt:variant>
      <vt:variant>
        <vt:i4>0</vt:i4>
      </vt:variant>
      <vt:variant>
        <vt:i4>5</vt:i4>
      </vt:variant>
      <vt:variant>
        <vt:lpwstr/>
      </vt:variant>
      <vt:variant>
        <vt:lpwstr>_Toc85442007</vt:lpwstr>
      </vt:variant>
      <vt:variant>
        <vt:i4>1048638</vt:i4>
      </vt:variant>
      <vt:variant>
        <vt:i4>80</vt:i4>
      </vt:variant>
      <vt:variant>
        <vt:i4>0</vt:i4>
      </vt:variant>
      <vt:variant>
        <vt:i4>5</vt:i4>
      </vt:variant>
      <vt:variant>
        <vt:lpwstr/>
      </vt:variant>
      <vt:variant>
        <vt:lpwstr>_Toc85442006</vt:lpwstr>
      </vt:variant>
      <vt:variant>
        <vt:i4>1245246</vt:i4>
      </vt:variant>
      <vt:variant>
        <vt:i4>74</vt:i4>
      </vt:variant>
      <vt:variant>
        <vt:i4>0</vt:i4>
      </vt:variant>
      <vt:variant>
        <vt:i4>5</vt:i4>
      </vt:variant>
      <vt:variant>
        <vt:lpwstr/>
      </vt:variant>
      <vt:variant>
        <vt:lpwstr>_Toc85442005</vt:lpwstr>
      </vt:variant>
      <vt:variant>
        <vt:i4>1179710</vt:i4>
      </vt:variant>
      <vt:variant>
        <vt:i4>68</vt:i4>
      </vt:variant>
      <vt:variant>
        <vt:i4>0</vt:i4>
      </vt:variant>
      <vt:variant>
        <vt:i4>5</vt:i4>
      </vt:variant>
      <vt:variant>
        <vt:lpwstr/>
      </vt:variant>
      <vt:variant>
        <vt:lpwstr>_Toc85442004</vt:lpwstr>
      </vt:variant>
      <vt:variant>
        <vt:i4>1376318</vt:i4>
      </vt:variant>
      <vt:variant>
        <vt:i4>62</vt:i4>
      </vt:variant>
      <vt:variant>
        <vt:i4>0</vt:i4>
      </vt:variant>
      <vt:variant>
        <vt:i4>5</vt:i4>
      </vt:variant>
      <vt:variant>
        <vt:lpwstr/>
      </vt:variant>
      <vt:variant>
        <vt:lpwstr>_Toc85442003</vt:lpwstr>
      </vt:variant>
      <vt:variant>
        <vt:i4>1310782</vt:i4>
      </vt:variant>
      <vt:variant>
        <vt:i4>56</vt:i4>
      </vt:variant>
      <vt:variant>
        <vt:i4>0</vt:i4>
      </vt:variant>
      <vt:variant>
        <vt:i4>5</vt:i4>
      </vt:variant>
      <vt:variant>
        <vt:lpwstr/>
      </vt:variant>
      <vt:variant>
        <vt:lpwstr>_Toc85442002</vt:lpwstr>
      </vt:variant>
      <vt:variant>
        <vt:i4>1507390</vt:i4>
      </vt:variant>
      <vt:variant>
        <vt:i4>50</vt:i4>
      </vt:variant>
      <vt:variant>
        <vt:i4>0</vt:i4>
      </vt:variant>
      <vt:variant>
        <vt:i4>5</vt:i4>
      </vt:variant>
      <vt:variant>
        <vt:lpwstr/>
      </vt:variant>
      <vt:variant>
        <vt:lpwstr>_Toc85442001</vt:lpwstr>
      </vt:variant>
      <vt:variant>
        <vt:i4>1441854</vt:i4>
      </vt:variant>
      <vt:variant>
        <vt:i4>44</vt:i4>
      </vt:variant>
      <vt:variant>
        <vt:i4>0</vt:i4>
      </vt:variant>
      <vt:variant>
        <vt:i4>5</vt:i4>
      </vt:variant>
      <vt:variant>
        <vt:lpwstr/>
      </vt:variant>
      <vt:variant>
        <vt:lpwstr>_Toc85442000</vt:lpwstr>
      </vt:variant>
      <vt:variant>
        <vt:i4>1441844</vt:i4>
      </vt:variant>
      <vt:variant>
        <vt:i4>38</vt:i4>
      </vt:variant>
      <vt:variant>
        <vt:i4>0</vt:i4>
      </vt:variant>
      <vt:variant>
        <vt:i4>5</vt:i4>
      </vt:variant>
      <vt:variant>
        <vt:lpwstr/>
      </vt:variant>
      <vt:variant>
        <vt:lpwstr>_Toc85441999</vt:lpwstr>
      </vt:variant>
      <vt:variant>
        <vt:i4>1507380</vt:i4>
      </vt:variant>
      <vt:variant>
        <vt:i4>32</vt:i4>
      </vt:variant>
      <vt:variant>
        <vt:i4>0</vt:i4>
      </vt:variant>
      <vt:variant>
        <vt:i4>5</vt:i4>
      </vt:variant>
      <vt:variant>
        <vt:lpwstr/>
      </vt:variant>
      <vt:variant>
        <vt:lpwstr>_Toc85441998</vt:lpwstr>
      </vt:variant>
      <vt:variant>
        <vt:i4>1572916</vt:i4>
      </vt:variant>
      <vt:variant>
        <vt:i4>26</vt:i4>
      </vt:variant>
      <vt:variant>
        <vt:i4>0</vt:i4>
      </vt:variant>
      <vt:variant>
        <vt:i4>5</vt:i4>
      </vt:variant>
      <vt:variant>
        <vt:lpwstr/>
      </vt:variant>
      <vt:variant>
        <vt:lpwstr>_Toc85441997</vt:lpwstr>
      </vt:variant>
      <vt:variant>
        <vt:i4>1638452</vt:i4>
      </vt:variant>
      <vt:variant>
        <vt:i4>20</vt:i4>
      </vt:variant>
      <vt:variant>
        <vt:i4>0</vt:i4>
      </vt:variant>
      <vt:variant>
        <vt:i4>5</vt:i4>
      </vt:variant>
      <vt:variant>
        <vt:lpwstr/>
      </vt:variant>
      <vt:variant>
        <vt:lpwstr>_Toc85441996</vt:lpwstr>
      </vt:variant>
      <vt:variant>
        <vt:i4>1703988</vt:i4>
      </vt:variant>
      <vt:variant>
        <vt:i4>14</vt:i4>
      </vt:variant>
      <vt:variant>
        <vt:i4>0</vt:i4>
      </vt:variant>
      <vt:variant>
        <vt:i4>5</vt:i4>
      </vt:variant>
      <vt:variant>
        <vt:lpwstr/>
      </vt:variant>
      <vt:variant>
        <vt:lpwstr>_Toc85441995</vt:lpwstr>
      </vt:variant>
      <vt:variant>
        <vt:i4>1769524</vt:i4>
      </vt:variant>
      <vt:variant>
        <vt:i4>8</vt:i4>
      </vt:variant>
      <vt:variant>
        <vt:i4>0</vt:i4>
      </vt:variant>
      <vt:variant>
        <vt:i4>5</vt:i4>
      </vt:variant>
      <vt:variant>
        <vt:lpwstr/>
      </vt:variant>
      <vt:variant>
        <vt:lpwstr>_Toc85441994</vt:lpwstr>
      </vt:variant>
      <vt:variant>
        <vt:i4>1835060</vt:i4>
      </vt:variant>
      <vt:variant>
        <vt:i4>2</vt:i4>
      </vt:variant>
      <vt:variant>
        <vt:i4>0</vt:i4>
      </vt:variant>
      <vt:variant>
        <vt:i4>5</vt:i4>
      </vt:variant>
      <vt:variant>
        <vt:lpwstr/>
      </vt:variant>
      <vt:variant>
        <vt:lpwstr>_Toc85441993</vt:lpwstr>
      </vt:variant>
      <vt:variant>
        <vt:i4>7995502</vt:i4>
      </vt:variant>
      <vt:variant>
        <vt:i4>3</vt:i4>
      </vt:variant>
      <vt:variant>
        <vt:i4>0</vt:i4>
      </vt:variant>
      <vt:variant>
        <vt:i4>5</vt:i4>
      </vt:variant>
      <vt:variant>
        <vt:lpwstr>https://www.ecfr.gov/current/title-2/subtitle-A/chapter-II/part-200/subpart-D/subject-group-ECFR031321e29ac5bbd/section-200.332</vt:lpwstr>
      </vt:variant>
      <vt:variant>
        <vt:lpwstr>p-200.332(b)</vt:lpwstr>
      </vt:variant>
      <vt:variant>
        <vt:i4>4325471</vt:i4>
      </vt:variant>
      <vt:variant>
        <vt:i4>0</vt:i4>
      </vt:variant>
      <vt:variant>
        <vt:i4>0</vt:i4>
      </vt:variant>
      <vt:variant>
        <vt:i4>5</vt:i4>
      </vt:variant>
      <vt:variant>
        <vt:lpwstr>https://www.ecfr.gov/current/title-2/subtitle-A/chapter-II/part-200?toc=1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Pelekoudas</dc:creator>
  <cp:keywords/>
  <dc:description/>
  <cp:lastModifiedBy>Gabriela Fowler</cp:lastModifiedBy>
  <cp:revision>2</cp:revision>
  <dcterms:created xsi:type="dcterms:W3CDTF">2022-01-25T20:39:00Z</dcterms:created>
  <dcterms:modified xsi:type="dcterms:W3CDTF">2022-01-25T20:39:00Z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0x0101006311DE150D903647AF6595931C21CDC9</vt:lpwstr>
  </property>
</Properties>
</file>