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06BBFE" w14:textId="0E9976E4" w:rsidR="00870418" w:rsidRPr="00B23EF2" w:rsidRDefault="00B96020" w:rsidP="00B23EF2">
      <w:pPr>
        <w:pStyle w:val="Heading1"/>
      </w:pPr>
      <w:r w:rsidRPr="00F5779F">
        <w:rPr>
          <w:rFonts w:cstheme="minorHAnsi"/>
          <w:noProof/>
          <w:sz w:val="20"/>
          <w:szCs w:val="20"/>
        </w:rPr>
        <w:drawing>
          <wp:anchor distT="0" distB="0" distL="114300" distR="114300" simplePos="0" relativeHeight="251658241" behindDoc="0" locked="0" layoutInCell="1" allowOverlap="1" wp14:anchorId="5DA365EF" wp14:editId="1B6D8CE2">
            <wp:simplePos x="0" y="0"/>
            <wp:positionH relativeFrom="rightMargin">
              <wp:posOffset>107950</wp:posOffset>
            </wp:positionH>
            <wp:positionV relativeFrom="paragraph">
              <wp:posOffset>-762000</wp:posOffset>
            </wp:positionV>
            <wp:extent cx="654050" cy="654050"/>
            <wp:effectExtent l="0" t="0" r="0" b="0"/>
            <wp:wrapNone/>
            <wp:docPr id="4" name="Picture 2" descr="Logo&#10;&#10;Description automatically generated">
              <a:extLst xmlns:a="http://schemas.openxmlformats.org/drawingml/2006/main">
                <a:ext uri="{FF2B5EF4-FFF2-40B4-BE49-F238E27FC236}">
                  <a16:creationId xmlns:a16="http://schemas.microsoft.com/office/drawing/2014/main" id="{AAA67CDA-EA0C-444E-AD7F-2BA62FDE5F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Logo&#10;&#10;Description automatically generated">
                      <a:extLst>
                        <a:ext uri="{FF2B5EF4-FFF2-40B4-BE49-F238E27FC236}">
                          <a16:creationId xmlns:a16="http://schemas.microsoft.com/office/drawing/2014/main" id="{AAA67CDA-EA0C-444E-AD7F-2BA62FDE5F37}"/>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14:sizeRelH relativeFrom="margin">
              <wp14:pctWidth>0</wp14:pctWidth>
            </wp14:sizeRelH>
            <wp14:sizeRelV relativeFrom="margin">
              <wp14:pctHeight>0</wp14:pctHeight>
            </wp14:sizeRelV>
          </wp:anchor>
        </w:drawing>
      </w:r>
      <w:r w:rsidRPr="007749DC">
        <w:rPr>
          <w:rFonts w:cstheme="minorHAnsi"/>
          <w:b/>
          <w:bCs/>
          <w:noProof/>
          <w:sz w:val="20"/>
          <w:szCs w:val="20"/>
          <w:u w:val="single"/>
        </w:rPr>
        <mc:AlternateContent>
          <mc:Choice Requires="wps">
            <w:drawing>
              <wp:anchor distT="0" distB="0" distL="114300" distR="114300" simplePos="0" relativeHeight="251658240" behindDoc="0" locked="0" layoutInCell="1" allowOverlap="1" wp14:anchorId="5DD86BF8" wp14:editId="61FB69BB">
                <wp:simplePos x="0" y="0"/>
                <wp:positionH relativeFrom="page">
                  <wp:align>right</wp:align>
                </wp:positionH>
                <wp:positionV relativeFrom="paragraph">
                  <wp:posOffset>-895350</wp:posOffset>
                </wp:positionV>
                <wp:extent cx="7766050" cy="901700"/>
                <wp:effectExtent l="0" t="0" r="6350" b="0"/>
                <wp:wrapNone/>
                <wp:docPr id="2" name="Title 1">
                  <a:extLst xmlns:a="http://schemas.openxmlformats.org/drawingml/2006/main">
                    <a:ext uri="{FF2B5EF4-FFF2-40B4-BE49-F238E27FC236}">
                      <a16:creationId xmlns:a16="http://schemas.microsoft.com/office/drawing/2014/main" id="{52ED836B-FD27-4AF1-B6F0-B8E79E37F2CE}"/>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766050" cy="901700"/>
                        </a:xfrm>
                        <a:prstGeom prst="rect">
                          <a:avLst/>
                        </a:prstGeom>
                        <a:solidFill>
                          <a:schemeClr val="tx2"/>
                        </a:solidFill>
                        <a:ln w="38100">
                          <a:noFill/>
                        </a:ln>
                      </wps:spPr>
                      <wps:txbx>
                        <w:txbxContent>
                          <w:p w14:paraId="5992E81F" w14:textId="77777777" w:rsidR="00B96020" w:rsidRPr="006C38CA" w:rsidRDefault="00B96020" w:rsidP="00B96020">
                            <w:pPr>
                              <w:spacing w:after="0" w:line="240" w:lineRule="auto"/>
                              <w:rPr>
                                <w:rFonts w:cstheme="minorHAnsi"/>
                                <w:b/>
                                <w:bCs/>
                                <w:color w:val="FFFFFF" w:themeColor="background1"/>
                                <w:sz w:val="44"/>
                                <w:szCs w:val="44"/>
                              </w:rPr>
                            </w:pPr>
                            <w:r w:rsidRPr="006C38CA">
                              <w:rPr>
                                <w:rFonts w:cstheme="minorHAnsi"/>
                                <w:b/>
                                <w:bCs/>
                                <w:color w:val="FFFFFF" w:themeColor="background1"/>
                                <w:sz w:val="44"/>
                                <w:szCs w:val="44"/>
                              </w:rPr>
                              <w:t>Coronavirus Local Fiscal Recovery Funds</w:t>
                            </w:r>
                            <w:r w:rsidRPr="006C38CA">
                              <w:rPr>
                                <w:rFonts w:cstheme="minorHAnsi"/>
                                <w:b/>
                                <w:bCs/>
                                <w:color w:val="FFFFFF" w:themeColor="background1"/>
                                <w:sz w:val="52"/>
                                <w:szCs w:val="52"/>
                              </w:rPr>
                              <w:t> </w:t>
                            </w:r>
                            <w:r w:rsidRPr="006C38CA">
                              <w:rPr>
                                <w:rFonts w:cstheme="minorHAnsi"/>
                                <w:b/>
                                <w:bCs/>
                                <w:color w:val="FFFFFF" w:themeColor="background1"/>
                                <w:sz w:val="44"/>
                                <w:szCs w:val="44"/>
                              </w:rPr>
                              <w:t xml:space="preserve"> </w:t>
                            </w:r>
                          </w:p>
                          <w:p w14:paraId="73DFC4A0" w14:textId="2B44C57F" w:rsidR="00B96020" w:rsidRPr="00F67639" w:rsidRDefault="00B96020" w:rsidP="00B96020">
                            <w:pPr>
                              <w:spacing w:after="0" w:line="240" w:lineRule="auto"/>
                              <w:rPr>
                                <w:rFonts w:cstheme="minorHAnsi"/>
                                <w:i/>
                                <w:iCs/>
                                <w:color w:val="FFFFFF" w:themeColor="background1"/>
                                <w:sz w:val="28"/>
                                <w:szCs w:val="28"/>
                              </w:rPr>
                            </w:pPr>
                            <w:r w:rsidRPr="00F67639">
                              <w:rPr>
                                <w:i/>
                                <w:iCs/>
                                <w:color w:val="FFFFFF" w:themeColor="background1"/>
                              </w:rPr>
                              <w:t xml:space="preserve">Frequently Asked Questions on </w:t>
                            </w:r>
                            <w:r w:rsidR="00244C76">
                              <w:rPr>
                                <w:i/>
                                <w:iCs/>
                                <w:color w:val="FFFFFF" w:themeColor="background1"/>
                              </w:rPr>
                              <w:t>Treasury’s Updated LFRF FAQs</w:t>
                            </w:r>
                            <w:r w:rsidRPr="00F67639">
                              <w:rPr>
                                <w:i/>
                                <w:iCs/>
                                <w:color w:val="FFFFFF" w:themeColor="background1"/>
                              </w:rPr>
                              <w:t xml:space="preserve"> </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5DD86BF8" id="Title 1" o:spid="_x0000_s1026" style="position:absolute;margin-left:560.3pt;margin-top:-70.5pt;width:611.5pt;height:71pt;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" fillcolor="#44546a [3215]" stroked="f" strokeweight="3pt">
                <o:lock v:ext="edit" grouping="t"/>
                <v:textbox>
                  <w:txbxContent>
                    <w:p w14:paraId="5992E81F" w14:textId="77777777" w:rsidR="00B96020" w:rsidRPr="006C38CA" w:rsidRDefault="00B96020" w:rsidP="00B96020">
                      <w:pPr>
                        <w:spacing w:after="0" w:line="240" w:lineRule="auto"/>
                        <w:rPr>
                          <w:rFonts w:cstheme="minorHAnsi"/>
                          <w:b/>
                          <w:bCs/>
                          <w:color w:val="FFFFFF" w:themeColor="background1"/>
                          <w:sz w:val="44"/>
                          <w:szCs w:val="44"/>
                        </w:rPr>
                      </w:pPr>
                      <w:r w:rsidRPr="006C38CA">
                        <w:rPr>
                          <w:rFonts w:cstheme="minorHAnsi"/>
                          <w:b/>
                          <w:bCs/>
                          <w:color w:val="FFFFFF" w:themeColor="background1"/>
                          <w:sz w:val="44"/>
                          <w:szCs w:val="44"/>
                        </w:rPr>
                        <w:t>Coronavirus Local Fiscal Recovery Funds</w:t>
                      </w:r>
                      <w:r w:rsidRPr="006C38CA">
                        <w:rPr>
                          <w:rFonts w:cstheme="minorHAnsi"/>
                          <w:b/>
                          <w:bCs/>
                          <w:color w:val="FFFFFF" w:themeColor="background1"/>
                          <w:sz w:val="52"/>
                          <w:szCs w:val="52"/>
                        </w:rPr>
                        <w:t> </w:t>
                      </w:r>
                      <w:r w:rsidRPr="006C38CA">
                        <w:rPr>
                          <w:rFonts w:cstheme="minorHAnsi"/>
                          <w:b/>
                          <w:bCs/>
                          <w:color w:val="FFFFFF" w:themeColor="background1"/>
                          <w:sz w:val="44"/>
                          <w:szCs w:val="44"/>
                        </w:rPr>
                        <w:t xml:space="preserve"> </w:t>
                      </w:r>
                    </w:p>
                    <w:p w14:paraId="73DFC4A0" w14:textId="2B44C57F" w:rsidR="00B96020" w:rsidRPr="00F67639" w:rsidRDefault="00B96020" w:rsidP="00B96020">
                      <w:pPr>
                        <w:spacing w:after="0" w:line="240" w:lineRule="auto"/>
                        <w:rPr>
                          <w:rFonts w:cstheme="minorHAnsi"/>
                          <w:i/>
                          <w:iCs/>
                          <w:color w:val="FFFFFF" w:themeColor="background1"/>
                          <w:sz w:val="28"/>
                          <w:szCs w:val="28"/>
                        </w:rPr>
                      </w:pPr>
                      <w:r w:rsidRPr="00F67639">
                        <w:rPr>
                          <w:i/>
                          <w:iCs/>
                          <w:color w:val="FFFFFF" w:themeColor="background1"/>
                        </w:rPr>
                        <w:t xml:space="preserve">Frequently Asked Questions on </w:t>
                      </w:r>
                      <w:r w:rsidR="00244C76">
                        <w:rPr>
                          <w:i/>
                          <w:iCs/>
                          <w:color w:val="FFFFFF" w:themeColor="background1"/>
                        </w:rPr>
                        <w:t>Treasury’s Updated LFRF FAQs</w:t>
                      </w:r>
                      <w:r w:rsidRPr="00F67639">
                        <w:rPr>
                          <w:i/>
                          <w:iCs/>
                          <w:color w:val="FFFFFF" w:themeColor="background1"/>
                        </w:rPr>
                        <w:t xml:space="preserve"> </w:t>
                      </w:r>
                    </w:p>
                  </w:txbxContent>
                </v:textbox>
                <w10:wrap anchorx="page"/>
              </v:rect>
            </w:pict>
          </mc:Fallback>
        </mc:AlternateContent>
      </w:r>
      <w:r w:rsidR="00ED0FBF">
        <w:t>Overview</w:t>
      </w:r>
    </w:p>
    <w:p w14:paraId="1ED7D575" w14:textId="3858FE1A" w:rsidR="00B1684D" w:rsidRDefault="00B1684D" w:rsidP="000D6125">
      <w:pPr>
        <w:rPr>
          <w:b/>
          <w:bCs/>
          <w:sz w:val="20"/>
          <w:szCs w:val="20"/>
        </w:rPr>
      </w:pPr>
      <w:r w:rsidRPr="00B1684D">
        <w:rPr>
          <w:sz w:val="20"/>
          <w:szCs w:val="20"/>
        </w:rPr>
        <w:t>On July 27, 2022, Treasury released updated FAQs that included substantial changes to the applicability of the Uniform Guidance (UG) to the use of revenue loss funds</w:t>
      </w:r>
      <w:r>
        <w:rPr>
          <w:sz w:val="20"/>
          <w:szCs w:val="20"/>
        </w:rPr>
        <w:t xml:space="preserve"> (Expenditure Category 6.1)</w:t>
      </w:r>
      <w:r w:rsidRPr="00B1684D">
        <w:rPr>
          <w:sz w:val="20"/>
          <w:szCs w:val="20"/>
        </w:rPr>
        <w:t>. The most substantial change was that, because there is no federal purpose being carried out by the award of revenue loss funds (</w:t>
      </w:r>
      <w:r w:rsidR="00AB0A01" w:rsidRPr="00AB0A01">
        <w:rPr>
          <w:sz w:val="20"/>
          <w:szCs w:val="20"/>
        </w:rPr>
        <w:t>Expenditure Category</w:t>
      </w:r>
      <w:r w:rsidRPr="00B1684D">
        <w:rPr>
          <w:sz w:val="20"/>
          <w:szCs w:val="20"/>
        </w:rPr>
        <w:t xml:space="preserve"> 6.1), subsequent disbursement of revenue loss funds by the recipient to other entities </w:t>
      </w:r>
      <w:r w:rsidRPr="00B1684D">
        <w:rPr>
          <w:b/>
          <w:bCs/>
          <w:sz w:val="20"/>
          <w:szCs w:val="20"/>
        </w:rPr>
        <w:t>never gives rise to a subrecipient relationship</w:t>
      </w:r>
    </w:p>
    <w:p w14:paraId="4C5E13BA" w14:textId="131BAE42" w:rsidR="000D6125" w:rsidRDefault="006E6448" w:rsidP="000D6125">
      <w:pPr>
        <w:rPr>
          <w:b/>
          <w:bCs/>
          <w:sz w:val="20"/>
          <w:szCs w:val="20"/>
        </w:rPr>
      </w:pPr>
      <w:r w:rsidRPr="006E6448">
        <w:rPr>
          <w:sz w:val="20"/>
          <w:szCs w:val="20"/>
        </w:rPr>
        <w:t xml:space="preserve">Further, Treasury clarified that, given the purpose and very broad scope of eligible uses of the revenue replacement funds, </w:t>
      </w:r>
      <w:r w:rsidRPr="006E6448">
        <w:rPr>
          <w:b/>
          <w:bCs/>
          <w:sz w:val="20"/>
          <w:szCs w:val="20"/>
        </w:rPr>
        <w:t xml:space="preserve">only a subset of the Uniform Guidance requirements </w:t>
      </w:r>
      <w:r w:rsidR="00041069" w:rsidRPr="006E6448">
        <w:rPr>
          <w:b/>
          <w:bCs/>
          <w:sz w:val="20"/>
          <w:szCs w:val="20"/>
        </w:rPr>
        <w:t>applies</w:t>
      </w:r>
      <w:r w:rsidRPr="006E6448">
        <w:rPr>
          <w:b/>
          <w:bCs/>
          <w:sz w:val="20"/>
          <w:szCs w:val="20"/>
        </w:rPr>
        <w:t xml:space="preserve"> to recipients’ use of revenue loss funds</w:t>
      </w:r>
      <w:r>
        <w:rPr>
          <w:b/>
          <w:bCs/>
          <w:sz w:val="20"/>
          <w:szCs w:val="20"/>
        </w:rPr>
        <w:t>.</w:t>
      </w:r>
    </w:p>
    <w:p w14:paraId="0530BB8F" w14:textId="535E1B21" w:rsidR="006E6448" w:rsidRDefault="006E6448" w:rsidP="000D6125">
      <w:pPr>
        <w:rPr>
          <w:b/>
          <w:bCs/>
          <w:sz w:val="20"/>
          <w:szCs w:val="20"/>
        </w:rPr>
      </w:pPr>
      <w:r>
        <w:rPr>
          <w:b/>
          <w:bCs/>
          <w:sz w:val="20"/>
          <w:szCs w:val="20"/>
        </w:rPr>
        <w:t xml:space="preserve">Please find </w:t>
      </w:r>
      <w:r w:rsidR="00BE238E">
        <w:rPr>
          <w:b/>
          <w:bCs/>
          <w:sz w:val="20"/>
          <w:szCs w:val="20"/>
        </w:rPr>
        <w:t>a few supporting documents embedded below:</w:t>
      </w:r>
    </w:p>
    <w:p w14:paraId="5C439D86" w14:textId="027AB067" w:rsidR="00BE238E" w:rsidRDefault="00A96334" w:rsidP="000D6125">
      <w:pPr>
        <w:rPr>
          <w:b/>
          <w:bCs/>
          <w:sz w:val="20"/>
          <w:szCs w:val="20"/>
        </w:rPr>
      </w:pPr>
      <w:r>
        <w:rPr>
          <w:b/>
          <w:bCs/>
          <w:sz w:val="20"/>
          <w:szCs w:val="20"/>
        </w:rPr>
        <w:t xml:space="preserve">Guidehouse </w:t>
      </w:r>
      <w:r w:rsidR="007376CF">
        <w:rPr>
          <w:b/>
          <w:bCs/>
          <w:sz w:val="20"/>
          <w:szCs w:val="20"/>
        </w:rPr>
        <w:t>LFRF Updated Guidance</w:t>
      </w:r>
      <w:r>
        <w:rPr>
          <w:b/>
          <w:bCs/>
          <w:sz w:val="20"/>
          <w:szCs w:val="20"/>
        </w:rPr>
        <w:t xml:space="preserve"> Slide Deck</w:t>
      </w:r>
      <w:r w:rsidR="00ED0FBF">
        <w:rPr>
          <w:b/>
          <w:bCs/>
          <w:sz w:val="20"/>
          <w:szCs w:val="20"/>
        </w:rPr>
        <w:t xml:space="preserve"> – 8/11/2022</w:t>
      </w:r>
    </w:p>
    <w:p w14:paraId="7837E665" w14:textId="2A450445" w:rsidR="00A96334" w:rsidRDefault="00244C76" w:rsidP="000D6125">
      <w:pPr>
        <w:rPr>
          <w:b/>
          <w:bCs/>
          <w:sz w:val="20"/>
          <w:szCs w:val="20"/>
        </w:rPr>
      </w:pPr>
      <w:r>
        <w:rPr>
          <w:b/>
          <w:bCs/>
          <w:sz w:val="20"/>
          <w:szCs w:val="20"/>
        </w:rPr>
        <w:object w:dxaOrig="1508" w:dyaOrig="982" w14:anchorId="34C19A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pt" o:ole="">
            <v:imagedata r:id="rId12" o:title=""/>
          </v:shape>
          <o:OLEObject Type="Embed" ProgID="PowerPoint.Show.12" ShapeID="_x0000_i1025" DrawAspect="Icon" ObjectID="_1721732823" r:id="rId13"/>
        </w:object>
      </w:r>
    </w:p>
    <w:p w14:paraId="61C3AE5B" w14:textId="405D4D21" w:rsidR="00A96334" w:rsidRDefault="00A96334" w:rsidP="000D6125">
      <w:pPr>
        <w:rPr>
          <w:b/>
          <w:bCs/>
          <w:sz w:val="20"/>
          <w:szCs w:val="20"/>
        </w:rPr>
      </w:pPr>
      <w:r>
        <w:rPr>
          <w:b/>
          <w:bCs/>
          <w:sz w:val="20"/>
          <w:szCs w:val="20"/>
        </w:rPr>
        <w:t>Coronavirus State and Local Fiscal Recovery Funds</w:t>
      </w:r>
      <w:r w:rsidR="001B31A6">
        <w:rPr>
          <w:b/>
          <w:bCs/>
          <w:sz w:val="20"/>
          <w:szCs w:val="20"/>
        </w:rPr>
        <w:t>: Frequently Asked Questions – 7/2</w:t>
      </w:r>
      <w:r w:rsidR="007376CF">
        <w:rPr>
          <w:b/>
          <w:bCs/>
          <w:sz w:val="20"/>
          <w:szCs w:val="20"/>
        </w:rPr>
        <w:t>7/2022</w:t>
      </w:r>
    </w:p>
    <w:p w14:paraId="5664C26E" w14:textId="4B91C594" w:rsidR="007376CF" w:rsidRPr="000D6125" w:rsidRDefault="0029560A" w:rsidP="000D6125">
      <w:pPr>
        <w:rPr>
          <w:sz w:val="20"/>
          <w:szCs w:val="20"/>
        </w:rPr>
      </w:pPr>
      <w:r>
        <w:rPr>
          <w:sz w:val="20"/>
          <w:szCs w:val="20"/>
        </w:rPr>
        <w:object w:dxaOrig="1508" w:dyaOrig="982" w14:anchorId="32559E4D">
          <v:shape id="_x0000_i1026" type="#_x0000_t75" style="width:76pt;height:49pt" o:ole="">
            <v:imagedata r:id="rId14" o:title=""/>
          </v:shape>
          <o:OLEObject Type="Embed" ProgID="AcroExch.Document.DC" ShapeID="_x0000_i1026" DrawAspect="Icon" ObjectID="_1721732824" r:id="rId15"/>
        </w:object>
      </w:r>
    </w:p>
    <w:p w14:paraId="48A952FB" w14:textId="148D4CFA" w:rsidR="56D9502E" w:rsidRDefault="00ED0FBF" w:rsidP="7492C41D">
      <w:pPr>
        <w:pStyle w:val="Heading1"/>
      </w:pPr>
      <w:r>
        <w:t>Questions</w:t>
      </w:r>
    </w:p>
    <w:p w14:paraId="0346BFCA" w14:textId="59F444B0" w:rsidR="00DC06E0" w:rsidRDefault="00DC06E0" w:rsidP="7492C41D">
      <w:pPr>
        <w:rPr>
          <w:b/>
          <w:bCs/>
          <w:i/>
          <w:iCs/>
          <w:sz w:val="20"/>
          <w:szCs w:val="20"/>
        </w:rPr>
      </w:pPr>
      <w:r w:rsidRPr="00DC06E0">
        <w:rPr>
          <w:b/>
          <w:bCs/>
          <w:i/>
          <w:iCs/>
          <w:sz w:val="20"/>
          <w:szCs w:val="20"/>
        </w:rPr>
        <w:t>How will NEUs be required to document adherence to reasonable cost principles? </w:t>
      </w:r>
    </w:p>
    <w:p w14:paraId="0AFC02D6" w14:textId="3C2955BF" w:rsidR="00694161" w:rsidRPr="00694161" w:rsidRDefault="00694161" w:rsidP="7492C41D">
      <w:pPr>
        <w:rPr>
          <w:sz w:val="20"/>
          <w:szCs w:val="20"/>
        </w:rPr>
      </w:pPr>
      <w:r>
        <w:rPr>
          <w:sz w:val="20"/>
          <w:szCs w:val="20"/>
        </w:rPr>
        <w:t xml:space="preserve">The UG requirements </w:t>
      </w:r>
      <w:r w:rsidR="00B2235B">
        <w:rPr>
          <w:sz w:val="20"/>
          <w:szCs w:val="20"/>
        </w:rPr>
        <w:t>indicate that</w:t>
      </w:r>
      <w:r>
        <w:rPr>
          <w:sz w:val="20"/>
          <w:szCs w:val="20"/>
        </w:rPr>
        <w:t xml:space="preserve"> a</w:t>
      </w:r>
      <w:r w:rsidRPr="00F1538E">
        <w:rPr>
          <w:sz w:val="20"/>
          <w:szCs w:val="20"/>
        </w:rPr>
        <w:t xml:space="preserve"> NEU must follow ‘reasonable cost principles</w:t>
      </w:r>
      <w:r w:rsidR="001847A8">
        <w:rPr>
          <w:sz w:val="20"/>
          <w:szCs w:val="20"/>
        </w:rPr>
        <w:t>.</w:t>
      </w:r>
      <w:r w:rsidRPr="00F1538E">
        <w:rPr>
          <w:sz w:val="20"/>
          <w:szCs w:val="20"/>
        </w:rPr>
        <w:t>’ Specifically, before incurring a cost a</w:t>
      </w:r>
      <w:r w:rsidR="00270D33">
        <w:rPr>
          <w:sz w:val="20"/>
          <w:szCs w:val="20"/>
        </w:rPr>
        <w:t>n</w:t>
      </w:r>
      <w:r w:rsidRPr="00F1538E">
        <w:rPr>
          <w:sz w:val="20"/>
          <w:szCs w:val="20"/>
        </w:rPr>
        <w:t xml:space="preserve"> NEU must assess if </w:t>
      </w:r>
      <w:r w:rsidRPr="00F1538E">
        <w:rPr>
          <w:b/>
          <w:bCs/>
          <w:sz w:val="20"/>
          <w:szCs w:val="20"/>
        </w:rPr>
        <w:t>the nature and amount of the cost does not exceed that which would be incurred by a prudent person under the circumstances prevailing at the time </w:t>
      </w:r>
      <w:r w:rsidRPr="00F1538E">
        <w:rPr>
          <w:sz w:val="20"/>
          <w:szCs w:val="20"/>
        </w:rPr>
        <w:t>the decision was made to incur the cost</w:t>
      </w:r>
      <w:r>
        <w:rPr>
          <w:sz w:val="20"/>
          <w:szCs w:val="20"/>
        </w:rPr>
        <w:t>.</w:t>
      </w:r>
      <w:r w:rsidR="00B2235B">
        <w:rPr>
          <w:sz w:val="20"/>
          <w:szCs w:val="20"/>
        </w:rPr>
        <w:t xml:space="preserve"> </w:t>
      </w:r>
      <w:r w:rsidR="00B657CD">
        <w:rPr>
          <w:sz w:val="20"/>
          <w:szCs w:val="20"/>
        </w:rPr>
        <w:t>This can be found in the following UG citation</w:t>
      </w:r>
      <w:r w:rsidR="00B657CD">
        <w:rPr>
          <w:rStyle w:val="FootnoteReference"/>
          <w:sz w:val="20"/>
          <w:szCs w:val="20"/>
        </w:rPr>
        <w:footnoteReference w:id="2"/>
      </w:r>
    </w:p>
    <w:p w14:paraId="5474F690" w14:textId="2E83AA2A" w:rsidR="00DC06E0" w:rsidRDefault="001F3282" w:rsidP="00177E65">
      <w:pPr>
        <w:pStyle w:val="ListParagraph"/>
        <w:numPr>
          <w:ilvl w:val="0"/>
          <w:numId w:val="9"/>
        </w:numPr>
        <w:rPr>
          <w:sz w:val="20"/>
          <w:szCs w:val="20"/>
        </w:rPr>
      </w:pPr>
      <w:r w:rsidRPr="001F3282">
        <w:rPr>
          <w:sz w:val="20"/>
          <w:szCs w:val="20"/>
        </w:rPr>
        <w:t xml:space="preserve">200.404(e) </w:t>
      </w:r>
      <w:r w:rsidRPr="001F3282">
        <w:rPr>
          <w:b/>
          <w:bCs/>
          <w:sz w:val="20"/>
          <w:szCs w:val="20"/>
        </w:rPr>
        <w:t>Reasonable costs</w:t>
      </w:r>
      <w:r>
        <w:rPr>
          <w:b/>
          <w:bCs/>
          <w:sz w:val="20"/>
          <w:szCs w:val="20"/>
        </w:rPr>
        <w:t xml:space="preserve"> </w:t>
      </w:r>
      <w:r w:rsidR="0086546C" w:rsidRPr="0086546C">
        <w:rPr>
          <w:sz w:val="20"/>
          <w:szCs w:val="20"/>
        </w:rPr>
        <w:t>–</w:t>
      </w:r>
      <w:r w:rsidRPr="0086546C">
        <w:rPr>
          <w:sz w:val="20"/>
          <w:szCs w:val="20"/>
        </w:rPr>
        <w:t xml:space="preserve"> </w:t>
      </w:r>
      <w:r w:rsidR="0086546C" w:rsidRPr="0086546C">
        <w:rPr>
          <w:sz w:val="20"/>
          <w:szCs w:val="20"/>
        </w:rPr>
        <w:t>This requirement outlines that deviation from established practices should be considered in determining the reasonableness of costs.</w:t>
      </w:r>
    </w:p>
    <w:p w14:paraId="48685334" w14:textId="77777777" w:rsidR="001847A8" w:rsidRDefault="00B2235B" w:rsidP="00B2235B">
      <w:pPr>
        <w:rPr>
          <w:sz w:val="20"/>
          <w:szCs w:val="20"/>
        </w:rPr>
      </w:pPr>
      <w:r>
        <w:rPr>
          <w:sz w:val="20"/>
          <w:szCs w:val="20"/>
        </w:rPr>
        <w:t xml:space="preserve">Broadly speaking, if the cost of your project </w:t>
      </w:r>
      <w:r w:rsidR="0083379E">
        <w:rPr>
          <w:sz w:val="20"/>
          <w:szCs w:val="20"/>
        </w:rPr>
        <w:t>is in line with your other general costs</w:t>
      </w:r>
      <w:r w:rsidR="001847A8">
        <w:rPr>
          <w:sz w:val="20"/>
          <w:szCs w:val="20"/>
        </w:rPr>
        <w:t xml:space="preserve"> and you followed your normal procurement policies</w:t>
      </w:r>
      <w:r w:rsidR="0083379E">
        <w:rPr>
          <w:sz w:val="20"/>
          <w:szCs w:val="20"/>
        </w:rPr>
        <w:t xml:space="preserve">, you will not need </w:t>
      </w:r>
      <w:r w:rsidR="001847A8">
        <w:rPr>
          <w:sz w:val="20"/>
          <w:szCs w:val="20"/>
        </w:rPr>
        <w:t>specific reasonable cost documentation</w:t>
      </w:r>
      <w:r w:rsidR="0083379E">
        <w:rPr>
          <w:sz w:val="20"/>
          <w:szCs w:val="20"/>
        </w:rPr>
        <w:t>.</w:t>
      </w:r>
    </w:p>
    <w:p w14:paraId="11AD5C89" w14:textId="61107D4C" w:rsidR="00B2235B" w:rsidRPr="00B2235B" w:rsidRDefault="00AE6362" w:rsidP="00B2235B">
      <w:pPr>
        <w:rPr>
          <w:sz w:val="20"/>
          <w:szCs w:val="20"/>
        </w:rPr>
      </w:pPr>
      <w:r>
        <w:rPr>
          <w:sz w:val="20"/>
          <w:szCs w:val="20"/>
        </w:rPr>
        <w:t xml:space="preserve">Please note that there is an implicit expectation that costs for general goods and services </w:t>
      </w:r>
      <w:r w:rsidR="001847A8">
        <w:rPr>
          <w:sz w:val="20"/>
          <w:szCs w:val="20"/>
        </w:rPr>
        <w:t xml:space="preserve">may </w:t>
      </w:r>
      <w:r>
        <w:rPr>
          <w:sz w:val="20"/>
          <w:szCs w:val="20"/>
        </w:rPr>
        <w:t xml:space="preserve">have increased </w:t>
      </w:r>
      <w:r w:rsidR="00122B4D">
        <w:rPr>
          <w:sz w:val="20"/>
          <w:szCs w:val="20"/>
        </w:rPr>
        <w:t>because</w:t>
      </w:r>
      <w:r>
        <w:rPr>
          <w:sz w:val="20"/>
          <w:szCs w:val="20"/>
        </w:rPr>
        <w:t xml:space="preserve"> of the pandemic</w:t>
      </w:r>
      <w:r w:rsidR="001847A8">
        <w:rPr>
          <w:sz w:val="20"/>
          <w:szCs w:val="20"/>
        </w:rPr>
        <w:t xml:space="preserve"> and based on economic circumstances. I</w:t>
      </w:r>
      <w:r w:rsidR="00BB18EA">
        <w:rPr>
          <w:sz w:val="20"/>
          <w:szCs w:val="20"/>
        </w:rPr>
        <w:t>f this is the case</w:t>
      </w:r>
      <w:r w:rsidR="001847A8">
        <w:rPr>
          <w:sz w:val="20"/>
          <w:szCs w:val="20"/>
        </w:rPr>
        <w:t xml:space="preserve">, </w:t>
      </w:r>
      <w:r w:rsidR="00011997">
        <w:rPr>
          <w:sz w:val="20"/>
          <w:szCs w:val="20"/>
        </w:rPr>
        <w:t xml:space="preserve">you </w:t>
      </w:r>
      <w:r w:rsidR="001847A8">
        <w:rPr>
          <w:sz w:val="20"/>
          <w:szCs w:val="20"/>
        </w:rPr>
        <w:t xml:space="preserve">still </w:t>
      </w:r>
      <w:r w:rsidR="00011997">
        <w:rPr>
          <w:sz w:val="20"/>
          <w:szCs w:val="20"/>
        </w:rPr>
        <w:t>will not need document any reasonable cost principle</w:t>
      </w:r>
      <w:r w:rsidR="00122B4D">
        <w:rPr>
          <w:sz w:val="20"/>
          <w:szCs w:val="20"/>
        </w:rPr>
        <w:t>s</w:t>
      </w:r>
      <w:r w:rsidR="00011997">
        <w:rPr>
          <w:sz w:val="20"/>
          <w:szCs w:val="20"/>
        </w:rPr>
        <w:t xml:space="preserve"> adherence</w:t>
      </w:r>
      <w:r w:rsidR="001847A8">
        <w:rPr>
          <w:sz w:val="20"/>
          <w:szCs w:val="20"/>
        </w:rPr>
        <w:t>, as long as the increase is in line with general economic circumstances</w:t>
      </w:r>
      <w:r w:rsidR="00011997">
        <w:rPr>
          <w:sz w:val="20"/>
          <w:szCs w:val="20"/>
        </w:rPr>
        <w:t xml:space="preserve">. </w:t>
      </w:r>
      <w:r w:rsidR="001847A8">
        <w:rPr>
          <w:sz w:val="20"/>
          <w:szCs w:val="20"/>
        </w:rPr>
        <w:t xml:space="preserve">Again, the standard is whether a “prudent person” would make the purchase under the same costs and circumstances. </w:t>
      </w:r>
      <w:r w:rsidR="00011997">
        <w:rPr>
          <w:sz w:val="20"/>
          <w:szCs w:val="20"/>
        </w:rPr>
        <w:t xml:space="preserve">Treasury has not issued formal </w:t>
      </w:r>
      <w:r w:rsidR="000B6CD9">
        <w:rPr>
          <w:sz w:val="20"/>
          <w:szCs w:val="20"/>
        </w:rPr>
        <w:t>thresholds to determine</w:t>
      </w:r>
      <w:r w:rsidR="00011997">
        <w:rPr>
          <w:sz w:val="20"/>
          <w:szCs w:val="20"/>
        </w:rPr>
        <w:t xml:space="preserve"> cost</w:t>
      </w:r>
      <w:r w:rsidR="000B6CD9">
        <w:rPr>
          <w:sz w:val="20"/>
          <w:szCs w:val="20"/>
        </w:rPr>
        <w:t xml:space="preserve"> </w:t>
      </w:r>
      <w:r w:rsidR="00011997">
        <w:rPr>
          <w:sz w:val="20"/>
          <w:szCs w:val="20"/>
        </w:rPr>
        <w:t xml:space="preserve">reasonableness, but </w:t>
      </w:r>
      <w:r w:rsidR="008E7DB3">
        <w:rPr>
          <w:sz w:val="20"/>
          <w:szCs w:val="20"/>
        </w:rPr>
        <w:t>in the case that</w:t>
      </w:r>
      <w:r w:rsidR="00011997">
        <w:rPr>
          <w:sz w:val="20"/>
          <w:szCs w:val="20"/>
        </w:rPr>
        <w:t xml:space="preserve"> you are </w:t>
      </w:r>
      <w:r w:rsidR="008E7DB3">
        <w:rPr>
          <w:sz w:val="20"/>
          <w:szCs w:val="20"/>
        </w:rPr>
        <w:t>uncertain</w:t>
      </w:r>
      <w:r w:rsidR="001847A8">
        <w:rPr>
          <w:sz w:val="20"/>
          <w:szCs w:val="20"/>
        </w:rPr>
        <w:t>, or believe that there is a question about what a prudent person would do,</w:t>
      </w:r>
      <w:r w:rsidR="00011997">
        <w:rPr>
          <w:sz w:val="20"/>
          <w:szCs w:val="20"/>
        </w:rPr>
        <w:t xml:space="preserve"> we recommend </w:t>
      </w:r>
      <w:r w:rsidR="00011997">
        <w:rPr>
          <w:sz w:val="20"/>
          <w:szCs w:val="20"/>
        </w:rPr>
        <w:lastRenderedPageBreak/>
        <w:t xml:space="preserve">writing a memo-to-file for your own records outlining the reason for such a cost. This document will not need to be uploaded into the Treasury Portal for reporting purposes, but </w:t>
      </w:r>
      <w:r w:rsidR="001847A8">
        <w:rPr>
          <w:sz w:val="20"/>
          <w:szCs w:val="20"/>
        </w:rPr>
        <w:t xml:space="preserve">should be kept in your files </w:t>
      </w:r>
      <w:r w:rsidR="00011997">
        <w:rPr>
          <w:sz w:val="20"/>
          <w:szCs w:val="20"/>
        </w:rPr>
        <w:t>in case of an audit.</w:t>
      </w:r>
    </w:p>
    <w:p w14:paraId="1AEC969C" w14:textId="77777777" w:rsidR="00AC1FF4" w:rsidRPr="00B2235B" w:rsidRDefault="00AC1FF4" w:rsidP="00B2235B">
      <w:pPr>
        <w:rPr>
          <w:sz w:val="20"/>
          <w:szCs w:val="20"/>
        </w:rPr>
      </w:pPr>
    </w:p>
    <w:p w14:paraId="009F1EAA" w14:textId="228210D0" w:rsidR="005675B1" w:rsidRDefault="005675B1" w:rsidP="001E0B1A">
      <w:pPr>
        <w:shd w:val="clear" w:color="auto" w:fill="FFFFFF"/>
        <w:textAlignment w:val="baseline"/>
        <w:rPr>
          <w:rFonts w:cstheme="minorHAnsi"/>
          <w:b/>
          <w:bCs/>
          <w:i/>
          <w:iCs/>
          <w:sz w:val="20"/>
          <w:szCs w:val="20"/>
        </w:rPr>
      </w:pPr>
      <w:r w:rsidRPr="005675B1">
        <w:rPr>
          <w:rFonts w:cstheme="minorHAnsi"/>
          <w:b/>
          <w:bCs/>
          <w:i/>
          <w:iCs/>
          <w:sz w:val="20"/>
          <w:szCs w:val="20"/>
        </w:rPr>
        <w:t xml:space="preserve">Under the revenue replacement project category, can we make updates to </w:t>
      </w:r>
      <w:r w:rsidR="001847A8">
        <w:rPr>
          <w:rFonts w:cstheme="minorHAnsi"/>
          <w:b/>
          <w:bCs/>
          <w:i/>
          <w:iCs/>
          <w:sz w:val="20"/>
          <w:szCs w:val="20"/>
        </w:rPr>
        <w:t xml:space="preserve">our </w:t>
      </w:r>
      <w:r w:rsidRPr="005675B1">
        <w:rPr>
          <w:rFonts w:cstheme="minorHAnsi"/>
          <w:b/>
          <w:bCs/>
          <w:i/>
          <w:iCs/>
          <w:sz w:val="20"/>
          <w:szCs w:val="20"/>
        </w:rPr>
        <w:t>Town Hall</w:t>
      </w:r>
      <w:r w:rsidR="001847A8">
        <w:rPr>
          <w:rFonts w:cstheme="minorHAnsi"/>
          <w:b/>
          <w:bCs/>
          <w:i/>
          <w:iCs/>
          <w:sz w:val="20"/>
          <w:szCs w:val="20"/>
        </w:rPr>
        <w:t xml:space="preserve"> building</w:t>
      </w:r>
      <w:r w:rsidR="00F64131">
        <w:rPr>
          <w:rFonts w:cstheme="minorHAnsi"/>
          <w:b/>
          <w:bCs/>
          <w:i/>
          <w:iCs/>
          <w:sz w:val="20"/>
          <w:szCs w:val="20"/>
        </w:rPr>
        <w:t>?</w:t>
      </w:r>
    </w:p>
    <w:p w14:paraId="482D9306" w14:textId="7F17E731" w:rsidR="001E0B1A" w:rsidRPr="00AD4B33" w:rsidRDefault="001E0B1A" w:rsidP="001E0B1A">
      <w:pPr>
        <w:shd w:val="clear" w:color="auto" w:fill="FFFFFF"/>
        <w:textAlignment w:val="baseline"/>
        <w:rPr>
          <w:color w:val="000000" w:themeColor="text1"/>
          <w:sz w:val="20"/>
          <w:szCs w:val="20"/>
        </w:rPr>
      </w:pPr>
      <w:r w:rsidRPr="00AD4B33">
        <w:rPr>
          <w:color w:val="000000" w:themeColor="text1"/>
          <w:sz w:val="20"/>
          <w:szCs w:val="20"/>
        </w:rPr>
        <w:t>In the Final Rule, Treasury gives local government recipients the option to e</w:t>
      </w:r>
      <w:r w:rsidRPr="00AD4B33">
        <w:rPr>
          <w:rFonts w:eastAsia="Times New Roman"/>
          <w:color w:val="000000" w:themeColor="text1"/>
          <w:sz w:val="20"/>
          <w:szCs w:val="20"/>
        </w:rPr>
        <w:t>lect a "standard allowance" of up to $10 million to spend on government services under the ‘Revenue Replacement’ category, E.C 6.</w:t>
      </w:r>
      <w:r w:rsidR="00AE09ED">
        <w:rPr>
          <w:rFonts w:eastAsia="Times New Roman"/>
          <w:color w:val="000000" w:themeColor="text1"/>
          <w:sz w:val="20"/>
          <w:szCs w:val="20"/>
        </w:rPr>
        <w:t>1</w:t>
      </w:r>
      <w:r w:rsidRPr="00AD4B33">
        <w:rPr>
          <w:rFonts w:eastAsia="Times New Roman"/>
          <w:color w:val="000000" w:themeColor="text1"/>
          <w:sz w:val="20"/>
          <w:szCs w:val="20"/>
        </w:rPr>
        <w:t>.</w:t>
      </w:r>
    </w:p>
    <w:p w14:paraId="698733F6" w14:textId="24570C2D" w:rsidR="00384330" w:rsidRPr="00466FC7" w:rsidRDefault="001E0B1A" w:rsidP="00466FC7">
      <w:pPr>
        <w:shd w:val="clear" w:color="auto" w:fill="FFFFFF"/>
        <w:spacing w:line="252" w:lineRule="auto"/>
        <w:textAlignment w:val="baseline"/>
        <w:rPr>
          <w:rFonts w:eastAsia="Times New Roman"/>
          <w:color w:val="000000" w:themeColor="text1"/>
          <w:sz w:val="20"/>
          <w:szCs w:val="20"/>
        </w:rPr>
      </w:pPr>
      <w:r w:rsidRPr="00AD4B33">
        <w:rPr>
          <w:color w:val="000000" w:themeColor="text1"/>
          <w:sz w:val="20"/>
          <w:szCs w:val="20"/>
        </w:rPr>
        <w:t>This option means that as an NEU that received less than $10 million, you can spend your entire allocation of LFRFs on “government services”.</w:t>
      </w:r>
      <w:r w:rsidR="00466FC7">
        <w:rPr>
          <w:rFonts w:eastAsia="Times New Roman"/>
          <w:color w:val="000000" w:themeColor="text1"/>
          <w:sz w:val="20"/>
          <w:szCs w:val="20"/>
        </w:rPr>
        <w:t xml:space="preserve"> </w:t>
      </w:r>
      <w:r w:rsidRPr="00AD4B33">
        <w:rPr>
          <w:color w:val="000000" w:themeColor="text1"/>
          <w:sz w:val="20"/>
          <w:szCs w:val="20"/>
        </w:rPr>
        <w:t xml:space="preserve">Treasury has noted that, in general, “government services” </w:t>
      </w:r>
      <w:r w:rsidRPr="00AD4B33">
        <w:rPr>
          <w:b/>
          <w:bCs/>
          <w:color w:val="000000" w:themeColor="text1"/>
          <w:sz w:val="20"/>
          <w:szCs w:val="20"/>
        </w:rPr>
        <w:t>include most services</w:t>
      </w:r>
      <w:r w:rsidR="001847A8">
        <w:rPr>
          <w:b/>
          <w:bCs/>
          <w:color w:val="000000" w:themeColor="text1"/>
          <w:sz w:val="20"/>
          <w:szCs w:val="20"/>
        </w:rPr>
        <w:t xml:space="preserve"> and normal expenses that</w:t>
      </w:r>
      <w:r w:rsidRPr="00AD4B33">
        <w:rPr>
          <w:b/>
          <w:bCs/>
          <w:color w:val="000000" w:themeColor="text1"/>
          <w:sz w:val="20"/>
          <w:szCs w:val="20"/>
        </w:rPr>
        <w:t xml:space="preserve"> NEUs</w:t>
      </w:r>
      <w:r w:rsidR="001847A8">
        <w:rPr>
          <w:b/>
          <w:bCs/>
          <w:color w:val="000000" w:themeColor="text1"/>
          <w:sz w:val="20"/>
          <w:szCs w:val="20"/>
        </w:rPr>
        <w:t xml:space="preserve"> would incur</w:t>
      </w:r>
      <w:r w:rsidRPr="00AD4B33">
        <w:rPr>
          <w:b/>
          <w:bCs/>
          <w:color w:val="000000" w:themeColor="text1"/>
          <w:sz w:val="20"/>
          <w:szCs w:val="20"/>
        </w:rPr>
        <w:t>.</w:t>
      </w:r>
      <w:r w:rsidR="001847A8">
        <w:rPr>
          <w:b/>
          <w:bCs/>
          <w:color w:val="000000" w:themeColor="text1"/>
          <w:sz w:val="20"/>
          <w:szCs w:val="20"/>
        </w:rPr>
        <w:t xml:space="preserve"> </w:t>
      </w:r>
      <w:r w:rsidR="001847A8">
        <w:rPr>
          <w:color w:val="000000" w:themeColor="text1"/>
          <w:sz w:val="20"/>
          <w:szCs w:val="20"/>
        </w:rPr>
        <w:t>Although we don’t approve or disapprove specific expenses, the town may</w:t>
      </w:r>
      <w:r w:rsidRPr="00AD4B33">
        <w:rPr>
          <w:color w:val="000000" w:themeColor="text1"/>
          <w:sz w:val="20"/>
          <w:szCs w:val="20"/>
        </w:rPr>
        <w:t xml:space="preserve"> be able to consider the improvement to </w:t>
      </w:r>
      <w:r w:rsidR="00EE0A38">
        <w:rPr>
          <w:color w:val="000000" w:themeColor="text1"/>
          <w:sz w:val="20"/>
          <w:szCs w:val="20"/>
        </w:rPr>
        <w:t>the Town Hall</w:t>
      </w:r>
      <w:r w:rsidRPr="00AD4B33">
        <w:rPr>
          <w:color w:val="000000" w:themeColor="text1"/>
          <w:sz w:val="20"/>
          <w:szCs w:val="20"/>
        </w:rPr>
        <w:t xml:space="preserve"> </w:t>
      </w:r>
      <w:r w:rsidR="001847A8">
        <w:rPr>
          <w:color w:val="000000" w:themeColor="text1"/>
          <w:sz w:val="20"/>
          <w:szCs w:val="20"/>
        </w:rPr>
        <w:t>to be an eligible expense if it is</w:t>
      </w:r>
      <w:r w:rsidRPr="00AD4B33">
        <w:rPr>
          <w:color w:val="000000" w:themeColor="text1"/>
          <w:sz w:val="20"/>
          <w:szCs w:val="20"/>
        </w:rPr>
        <w:t xml:space="preserve"> a cost that would normally be paid for with your local budget.</w:t>
      </w:r>
    </w:p>
    <w:p w14:paraId="5DE837A6" w14:textId="47E0C15D" w:rsidR="00183EEE" w:rsidRDefault="00183EEE" w:rsidP="00183EEE">
      <w:pPr>
        <w:pStyle w:val="NormalWeb"/>
        <w:shd w:val="clear" w:color="auto" w:fill="FFFFFF"/>
        <w:spacing w:before="0" w:beforeAutospacing="0" w:after="0" w:afterAutospacing="0"/>
        <w:rPr>
          <w:rFonts w:asciiTheme="minorHAnsi" w:hAnsiTheme="minorHAnsi" w:cstheme="minorHAnsi"/>
          <w:color w:val="201F1E"/>
          <w:sz w:val="20"/>
          <w:szCs w:val="20"/>
          <w:bdr w:val="none" w:sz="0" w:space="0" w:color="auto" w:frame="1"/>
          <w:shd w:val="clear" w:color="auto" w:fill="FFFFFF"/>
        </w:rPr>
      </w:pPr>
      <w:r w:rsidRPr="00183EEE">
        <w:rPr>
          <w:rFonts w:asciiTheme="minorHAnsi" w:hAnsiTheme="minorHAnsi" w:cstheme="minorHAnsi"/>
          <w:color w:val="201F1E"/>
          <w:sz w:val="20"/>
          <w:szCs w:val="20"/>
          <w:bdr w:val="none" w:sz="0" w:space="0" w:color="auto" w:frame="1"/>
          <w:shd w:val="clear" w:color="auto" w:fill="FFFFFF"/>
        </w:rPr>
        <w:t>Treasury describes the government services that may be eligible for LFRF funding in the context of </w:t>
      </w:r>
      <w:r w:rsidRPr="00183EEE">
        <w:rPr>
          <w:rStyle w:val="markid0nbh70r"/>
          <w:rFonts w:asciiTheme="minorHAnsi" w:eastAsiaTheme="majorEastAsia" w:hAnsiTheme="minorHAnsi" w:cstheme="minorHAnsi"/>
          <w:color w:val="000000"/>
          <w:sz w:val="20"/>
          <w:szCs w:val="20"/>
          <w:bdr w:val="none" w:sz="0" w:space="0" w:color="auto" w:frame="1"/>
          <w:shd w:val="clear" w:color="auto" w:fill="FFFFFF"/>
        </w:rPr>
        <w:t>revenue</w:t>
      </w:r>
      <w:r w:rsidRPr="00183EEE">
        <w:rPr>
          <w:rFonts w:asciiTheme="minorHAnsi" w:hAnsiTheme="minorHAnsi" w:cstheme="minorHAnsi"/>
          <w:color w:val="201F1E"/>
          <w:sz w:val="20"/>
          <w:szCs w:val="20"/>
          <w:bdr w:val="none" w:sz="0" w:space="0" w:color="auto" w:frame="1"/>
          <w:shd w:val="clear" w:color="auto" w:fill="FFFFFF"/>
        </w:rPr>
        <w:t> </w:t>
      </w:r>
      <w:r w:rsidRPr="00183EEE">
        <w:rPr>
          <w:rStyle w:val="markvk4jzmnpz"/>
          <w:rFonts w:asciiTheme="minorHAnsi" w:hAnsiTheme="minorHAnsi" w:cstheme="minorHAnsi"/>
          <w:color w:val="201F1E"/>
          <w:sz w:val="20"/>
          <w:szCs w:val="20"/>
          <w:bdr w:val="none" w:sz="0" w:space="0" w:color="auto" w:frame="1"/>
          <w:shd w:val="clear" w:color="auto" w:fill="FFFFFF"/>
        </w:rPr>
        <w:t>loss</w:t>
      </w:r>
      <w:r w:rsidRPr="00183EEE">
        <w:rPr>
          <w:rFonts w:asciiTheme="minorHAnsi" w:hAnsiTheme="minorHAnsi" w:cstheme="minorHAnsi"/>
          <w:color w:val="201F1E"/>
          <w:sz w:val="20"/>
          <w:szCs w:val="20"/>
          <w:bdr w:val="none" w:sz="0" w:space="0" w:color="auto" w:frame="1"/>
          <w:shd w:val="clear" w:color="auto" w:fill="FFFFFF"/>
        </w:rPr>
        <w:t> in its </w:t>
      </w:r>
      <w:r w:rsidR="000B79D4">
        <w:rPr>
          <w:rFonts w:asciiTheme="minorHAnsi" w:hAnsiTheme="minorHAnsi" w:cstheme="minorHAnsi"/>
          <w:sz w:val="20"/>
          <w:szCs w:val="20"/>
          <w:bdr w:val="none" w:sz="0" w:space="0" w:color="auto" w:frame="1"/>
          <w:shd w:val="clear" w:color="auto" w:fill="FFFFFF"/>
        </w:rPr>
        <w:t>Final Rule</w:t>
      </w:r>
      <w:r w:rsidR="006C21B7">
        <w:rPr>
          <w:rFonts w:asciiTheme="minorHAnsi" w:hAnsiTheme="minorHAnsi" w:cstheme="minorHAnsi"/>
          <w:sz w:val="20"/>
          <w:szCs w:val="20"/>
          <w:bdr w:val="none" w:sz="0" w:space="0" w:color="auto" w:frame="1"/>
          <w:shd w:val="clear" w:color="auto" w:fill="FFFFFF"/>
        </w:rPr>
        <w:t>:</w:t>
      </w:r>
      <w:r w:rsidR="000B79D4">
        <w:rPr>
          <w:rStyle w:val="FootnoteReference"/>
          <w:rFonts w:asciiTheme="minorHAnsi" w:hAnsiTheme="minorHAnsi" w:cstheme="minorHAnsi"/>
          <w:sz w:val="20"/>
          <w:szCs w:val="20"/>
          <w:bdr w:val="none" w:sz="0" w:space="0" w:color="auto" w:frame="1"/>
          <w:shd w:val="clear" w:color="auto" w:fill="FFFFFF"/>
        </w:rPr>
        <w:footnoteReference w:id="3"/>
      </w:r>
    </w:p>
    <w:p w14:paraId="77D2F2C8" w14:textId="05469DB9" w:rsidR="00D01C3C" w:rsidRPr="00D01C3C" w:rsidRDefault="00D01C3C" w:rsidP="00183EEE">
      <w:pPr>
        <w:pStyle w:val="NormalWeb"/>
        <w:shd w:val="clear" w:color="auto" w:fill="FFFFFF"/>
        <w:spacing w:before="0" w:beforeAutospacing="0" w:after="0" w:afterAutospacing="0"/>
        <w:rPr>
          <w:rFonts w:asciiTheme="minorHAnsi" w:hAnsiTheme="minorHAnsi" w:cstheme="minorHAnsi"/>
          <w:color w:val="201F1E"/>
          <w:sz w:val="20"/>
          <w:szCs w:val="20"/>
        </w:rPr>
      </w:pPr>
    </w:p>
    <w:p w14:paraId="477626EA" w14:textId="3E02430C" w:rsidR="00BD4BA4" w:rsidRPr="00BD4BA4" w:rsidRDefault="00BD4BA4" w:rsidP="00686D54">
      <w:pPr>
        <w:pStyle w:val="NormalWeb"/>
        <w:shd w:val="clear" w:color="auto" w:fill="FFFFFF"/>
        <w:spacing w:before="0" w:beforeAutospacing="0" w:after="0" w:afterAutospacing="0"/>
        <w:ind w:left="720"/>
        <w:rPr>
          <w:rFonts w:asciiTheme="minorHAnsi" w:hAnsiTheme="minorHAnsi" w:cstheme="minorHAnsi"/>
          <w:i/>
          <w:iCs/>
          <w:color w:val="201F1E"/>
          <w:sz w:val="20"/>
          <w:szCs w:val="20"/>
        </w:rPr>
      </w:pPr>
      <w:r w:rsidRPr="00BD4BA4">
        <w:rPr>
          <w:rFonts w:asciiTheme="minorHAnsi" w:hAnsiTheme="minorHAnsi" w:cstheme="minorHAnsi"/>
          <w:i/>
          <w:iCs/>
          <w:color w:val="201F1E"/>
          <w:sz w:val="20"/>
          <w:szCs w:val="20"/>
        </w:rPr>
        <w:t>Government services include, but are not limited to, maintenance or pay-go funded building of infrastructure, including roads; modernization of cybersecurity, including hardware, software, and protection of critical infrastructure; health services; environmental remediation; school or educational services; and the provision of police, fire, and other public safety services. The aforementioned list of government services is not exclusive. However, recipients should be mindful that other restrictions may apply, including those articulated in the section Restrictions on Use.</w:t>
      </w:r>
    </w:p>
    <w:p w14:paraId="446616B3" w14:textId="77777777" w:rsidR="00183EEE" w:rsidRDefault="00183EEE" w:rsidP="00D01C3C">
      <w:pPr>
        <w:pStyle w:val="NormalWeb"/>
        <w:shd w:val="clear" w:color="auto" w:fill="FFFFFF"/>
        <w:spacing w:before="0" w:beforeAutospacing="0" w:after="0" w:afterAutospacing="0"/>
        <w:rPr>
          <w:rFonts w:asciiTheme="minorHAnsi" w:hAnsiTheme="minorHAnsi" w:cstheme="minorHAnsi"/>
          <w:b/>
          <w:bCs/>
          <w:i/>
          <w:iCs/>
          <w:color w:val="201F1E"/>
          <w:sz w:val="20"/>
          <w:szCs w:val="20"/>
          <w:bdr w:val="none" w:sz="0" w:space="0" w:color="auto" w:frame="1"/>
          <w:shd w:val="clear" w:color="auto" w:fill="FFFFFF"/>
        </w:rPr>
      </w:pPr>
    </w:p>
    <w:p w14:paraId="5C1A8283" w14:textId="77777777" w:rsidR="00527B1C" w:rsidRPr="00183EEE" w:rsidRDefault="00527B1C" w:rsidP="00333DBB">
      <w:pPr>
        <w:spacing w:after="0" w:line="240" w:lineRule="auto"/>
        <w:rPr>
          <w:rFonts w:cstheme="minorHAnsi"/>
          <w:b/>
          <w:bCs/>
          <w:i/>
          <w:iCs/>
          <w:sz w:val="20"/>
          <w:szCs w:val="20"/>
        </w:rPr>
      </w:pPr>
    </w:p>
    <w:p w14:paraId="0351F493" w14:textId="5D20D955" w:rsidR="005358E6" w:rsidRDefault="008E0287" w:rsidP="005358E6">
      <w:pPr>
        <w:shd w:val="clear" w:color="auto" w:fill="FFFFFF"/>
        <w:textAlignment w:val="baseline"/>
        <w:rPr>
          <w:rFonts w:cstheme="minorHAnsi"/>
          <w:b/>
          <w:bCs/>
          <w:i/>
          <w:iCs/>
          <w:sz w:val="20"/>
          <w:szCs w:val="20"/>
        </w:rPr>
      </w:pPr>
      <w:r w:rsidRPr="008E0287">
        <w:rPr>
          <w:rFonts w:cstheme="minorHAnsi"/>
          <w:b/>
          <w:bCs/>
          <w:i/>
          <w:iCs/>
          <w:sz w:val="20"/>
          <w:szCs w:val="20"/>
        </w:rPr>
        <w:t>If a town does not have any need for SLRF funds, can they be returned? </w:t>
      </w:r>
    </w:p>
    <w:p w14:paraId="0B317493" w14:textId="325A00A0" w:rsidR="003D3885" w:rsidRDefault="003D3885" w:rsidP="005358E6">
      <w:pPr>
        <w:shd w:val="clear" w:color="auto" w:fill="FFFFFF"/>
        <w:textAlignment w:val="baseline"/>
        <w:rPr>
          <w:rFonts w:cstheme="minorHAnsi"/>
          <w:sz w:val="20"/>
          <w:szCs w:val="20"/>
        </w:rPr>
      </w:pPr>
      <w:r>
        <w:rPr>
          <w:rFonts w:cstheme="minorHAnsi"/>
          <w:sz w:val="20"/>
          <w:szCs w:val="20"/>
        </w:rPr>
        <w:t xml:space="preserve">Please note that </w:t>
      </w:r>
      <w:r w:rsidR="00596381">
        <w:rPr>
          <w:rFonts w:cstheme="minorHAnsi"/>
          <w:sz w:val="20"/>
          <w:szCs w:val="20"/>
        </w:rPr>
        <w:t>an entire NEUs’ award (under $10 million)</w:t>
      </w:r>
      <w:r>
        <w:rPr>
          <w:rFonts w:cstheme="minorHAnsi"/>
          <w:sz w:val="20"/>
          <w:szCs w:val="20"/>
        </w:rPr>
        <w:t xml:space="preserve"> can be used to pay for any normal government services or expenses faced by your town during the relevant time periods</w:t>
      </w:r>
      <w:r w:rsidR="00816177">
        <w:rPr>
          <w:rFonts w:cstheme="minorHAnsi"/>
          <w:sz w:val="20"/>
          <w:szCs w:val="20"/>
        </w:rPr>
        <w:t xml:space="preserve"> (see the question below about timeframes for more details on this)</w:t>
      </w:r>
      <w:r>
        <w:rPr>
          <w:rFonts w:cstheme="minorHAnsi"/>
          <w:sz w:val="20"/>
          <w:szCs w:val="20"/>
        </w:rPr>
        <w:t>. Th</w:t>
      </w:r>
      <w:r w:rsidR="00596381">
        <w:rPr>
          <w:rFonts w:cstheme="minorHAnsi"/>
          <w:sz w:val="20"/>
          <w:szCs w:val="20"/>
        </w:rPr>
        <w:t>ese expenses could</w:t>
      </w:r>
      <w:r>
        <w:rPr>
          <w:rFonts w:cstheme="minorHAnsi"/>
          <w:sz w:val="20"/>
          <w:szCs w:val="20"/>
        </w:rPr>
        <w:t xml:space="preserve"> include town staff payroll, </w:t>
      </w:r>
      <w:r w:rsidR="003B3F8B">
        <w:rPr>
          <w:rFonts w:cstheme="minorHAnsi"/>
          <w:sz w:val="20"/>
          <w:szCs w:val="20"/>
        </w:rPr>
        <w:t xml:space="preserve">assistance to residents, </w:t>
      </w:r>
      <w:r w:rsidR="005740B9">
        <w:rPr>
          <w:rFonts w:cstheme="minorHAnsi"/>
          <w:sz w:val="20"/>
          <w:szCs w:val="20"/>
        </w:rPr>
        <w:t>sanitation, road mai</w:t>
      </w:r>
      <w:r w:rsidR="00DF381A">
        <w:rPr>
          <w:rFonts w:cstheme="minorHAnsi"/>
          <w:sz w:val="20"/>
          <w:szCs w:val="20"/>
        </w:rPr>
        <w:t>ntenance</w:t>
      </w:r>
      <w:r w:rsidR="00F8632C">
        <w:rPr>
          <w:rFonts w:cstheme="minorHAnsi"/>
          <w:sz w:val="20"/>
          <w:szCs w:val="20"/>
        </w:rPr>
        <w:t>, etc.</w:t>
      </w:r>
    </w:p>
    <w:p w14:paraId="503E827F" w14:textId="44019156" w:rsidR="008E0287" w:rsidRDefault="009C17B9" w:rsidP="005358E6">
      <w:pPr>
        <w:shd w:val="clear" w:color="auto" w:fill="FFFFFF"/>
        <w:textAlignment w:val="baseline"/>
        <w:rPr>
          <w:rFonts w:cstheme="minorHAnsi"/>
          <w:sz w:val="20"/>
          <w:szCs w:val="20"/>
        </w:rPr>
      </w:pPr>
      <w:r>
        <w:rPr>
          <w:rFonts w:cstheme="minorHAnsi"/>
          <w:sz w:val="20"/>
          <w:szCs w:val="20"/>
        </w:rPr>
        <w:t xml:space="preserve">Currently, there </w:t>
      </w:r>
      <w:r w:rsidR="001847A8">
        <w:rPr>
          <w:rFonts w:cstheme="minorHAnsi"/>
          <w:sz w:val="20"/>
          <w:szCs w:val="20"/>
        </w:rPr>
        <w:t xml:space="preserve">is not </w:t>
      </w:r>
      <w:r>
        <w:rPr>
          <w:rFonts w:cstheme="minorHAnsi"/>
          <w:sz w:val="20"/>
          <w:szCs w:val="20"/>
        </w:rPr>
        <w:t xml:space="preserve">a process in place for NEUs to decline and transfer their </w:t>
      </w:r>
      <w:r w:rsidR="00F61C5D">
        <w:rPr>
          <w:rFonts w:cstheme="minorHAnsi"/>
          <w:sz w:val="20"/>
          <w:szCs w:val="20"/>
        </w:rPr>
        <w:t>payment</w:t>
      </w:r>
      <w:r w:rsidR="001847A8">
        <w:rPr>
          <w:rFonts w:cstheme="minorHAnsi"/>
          <w:sz w:val="20"/>
          <w:szCs w:val="20"/>
        </w:rPr>
        <w:t>s if the initial tranche was accepted last year</w:t>
      </w:r>
      <w:r w:rsidR="00F61C5D">
        <w:rPr>
          <w:rFonts w:cstheme="minorHAnsi"/>
          <w:sz w:val="20"/>
          <w:szCs w:val="20"/>
        </w:rPr>
        <w:t xml:space="preserve">. </w:t>
      </w:r>
      <w:r w:rsidR="001847A8">
        <w:rPr>
          <w:rFonts w:cstheme="minorHAnsi"/>
          <w:sz w:val="20"/>
          <w:szCs w:val="20"/>
        </w:rPr>
        <w:t xml:space="preserve">In guidance issued last year, </w:t>
      </w:r>
      <w:r w:rsidR="0011702E" w:rsidRPr="0011702E">
        <w:rPr>
          <w:rFonts w:cstheme="minorHAnsi"/>
          <w:sz w:val="20"/>
          <w:szCs w:val="20"/>
        </w:rPr>
        <w:t>Treasury describe</w:t>
      </w:r>
      <w:r w:rsidR="00ED5BDE">
        <w:rPr>
          <w:rFonts w:cstheme="minorHAnsi"/>
          <w:sz w:val="20"/>
          <w:szCs w:val="20"/>
        </w:rPr>
        <w:t>d</w:t>
      </w:r>
      <w:r w:rsidR="00041069">
        <w:rPr>
          <w:rFonts w:cstheme="minorHAnsi"/>
          <w:sz w:val="20"/>
          <w:szCs w:val="20"/>
        </w:rPr>
        <w:t xml:space="preserve"> the </w:t>
      </w:r>
      <w:r w:rsidR="00ED5BDE">
        <w:rPr>
          <w:rFonts w:cstheme="minorHAnsi"/>
          <w:sz w:val="20"/>
          <w:szCs w:val="20"/>
        </w:rPr>
        <w:t>process</w:t>
      </w:r>
      <w:r w:rsidR="008E00E4">
        <w:rPr>
          <w:rFonts w:cstheme="minorHAnsi"/>
          <w:sz w:val="20"/>
          <w:szCs w:val="20"/>
        </w:rPr>
        <w:t xml:space="preserve"> of </w:t>
      </w:r>
      <w:r w:rsidR="00ED5BDE">
        <w:rPr>
          <w:rFonts w:cstheme="minorHAnsi"/>
          <w:sz w:val="20"/>
          <w:szCs w:val="20"/>
        </w:rPr>
        <w:t>declining and transferring</w:t>
      </w:r>
      <w:r w:rsidR="008E00E4">
        <w:rPr>
          <w:rFonts w:cstheme="minorHAnsi"/>
          <w:sz w:val="20"/>
          <w:szCs w:val="20"/>
        </w:rPr>
        <w:t xml:space="preserve"> the </w:t>
      </w:r>
      <w:r w:rsidR="00ED5BDE" w:rsidRPr="008611D9">
        <w:rPr>
          <w:rFonts w:cstheme="minorHAnsi"/>
          <w:b/>
          <w:sz w:val="20"/>
          <w:szCs w:val="20"/>
        </w:rPr>
        <w:t>entire award</w:t>
      </w:r>
      <w:r w:rsidR="00ED5BDE">
        <w:rPr>
          <w:rFonts w:cstheme="minorHAnsi"/>
          <w:sz w:val="20"/>
          <w:szCs w:val="20"/>
        </w:rPr>
        <w:t xml:space="preserve"> </w:t>
      </w:r>
      <w:r w:rsidR="0011702E" w:rsidRPr="0011702E">
        <w:rPr>
          <w:rFonts w:cstheme="minorHAnsi"/>
          <w:sz w:val="20"/>
          <w:szCs w:val="20"/>
        </w:rPr>
        <w:t>in its </w:t>
      </w:r>
      <w:r w:rsidR="006615EC">
        <w:rPr>
          <w:rFonts w:cstheme="minorHAnsi"/>
          <w:sz w:val="20"/>
          <w:szCs w:val="20"/>
        </w:rPr>
        <w:t>Guidance on</w:t>
      </w:r>
      <w:r w:rsidR="0011702E" w:rsidRPr="0011702E">
        <w:rPr>
          <w:rFonts w:cstheme="minorHAnsi"/>
          <w:sz w:val="20"/>
          <w:szCs w:val="20"/>
        </w:rPr>
        <w:t xml:space="preserve"> </w:t>
      </w:r>
      <w:r w:rsidR="008C0811" w:rsidRPr="008C0811">
        <w:rPr>
          <w:rFonts w:cstheme="minorHAnsi"/>
          <w:sz w:val="20"/>
          <w:szCs w:val="20"/>
        </w:rPr>
        <w:t>Distribution of Funds to Non-entitlement Units of Local Government</w:t>
      </w:r>
      <w:r w:rsidR="008C0811">
        <w:rPr>
          <w:rFonts w:cstheme="minorHAnsi"/>
          <w:sz w:val="20"/>
          <w:szCs w:val="20"/>
        </w:rPr>
        <w:t xml:space="preserve"> (available </w:t>
      </w:r>
      <w:hyperlink r:id="rId16" w:history="1">
        <w:r w:rsidR="008C0811" w:rsidRPr="00EF50E8">
          <w:rPr>
            <w:rStyle w:val="Hyperlink"/>
            <w:rFonts w:cstheme="minorHAnsi"/>
            <w:sz w:val="20"/>
            <w:szCs w:val="20"/>
          </w:rPr>
          <w:t>here</w:t>
        </w:r>
        <w:r w:rsidR="00EA0CD4" w:rsidRPr="00EF50E8">
          <w:rPr>
            <w:rStyle w:val="Hyperlink"/>
            <w:rFonts w:cstheme="minorHAnsi"/>
            <w:sz w:val="20"/>
            <w:szCs w:val="20"/>
          </w:rPr>
          <w:t xml:space="preserve"> – see page </w:t>
        </w:r>
        <w:r w:rsidR="00EF50E8" w:rsidRPr="00EF50E8">
          <w:rPr>
            <w:rStyle w:val="Hyperlink"/>
            <w:rFonts w:cstheme="minorHAnsi"/>
            <w:sz w:val="20"/>
            <w:szCs w:val="20"/>
          </w:rPr>
          <w:t>5</w:t>
        </w:r>
      </w:hyperlink>
      <w:r w:rsidR="00EA0CD4">
        <w:rPr>
          <w:rFonts w:cstheme="minorHAnsi"/>
          <w:sz w:val="20"/>
          <w:szCs w:val="20"/>
        </w:rPr>
        <w:t>)</w:t>
      </w:r>
    </w:p>
    <w:p w14:paraId="26D608EA" w14:textId="43D69C9E" w:rsidR="00EA0CD4" w:rsidRDefault="00B94071" w:rsidP="00686D54">
      <w:pPr>
        <w:shd w:val="clear" w:color="auto" w:fill="FFFFFF"/>
        <w:ind w:left="720"/>
        <w:textAlignment w:val="baseline"/>
        <w:rPr>
          <w:rFonts w:cstheme="minorHAnsi"/>
          <w:i/>
          <w:iCs/>
          <w:sz w:val="20"/>
          <w:szCs w:val="20"/>
        </w:rPr>
      </w:pPr>
      <w:r w:rsidRPr="008611D9">
        <w:rPr>
          <w:rFonts w:cstheme="minorHAnsi"/>
          <w:i/>
          <w:sz w:val="20"/>
          <w:szCs w:val="20"/>
          <w:u w:val="single"/>
        </w:rPr>
        <w:t>Process requests to transfer to the State</w:t>
      </w:r>
      <w:r w:rsidRPr="00B94071">
        <w:rPr>
          <w:rFonts w:cstheme="minorHAnsi"/>
          <w:i/>
          <w:iCs/>
          <w:sz w:val="20"/>
          <w:szCs w:val="20"/>
        </w:rPr>
        <w:t>. If a State receives notification from an NEU that it would like to decline its funding allocation and transfer funds to the State under Section 603(c)(4) of the Act, Treasury will consider this action as a cancellation of the award on the part of the eligible NEU and a modification of the award to the State. A State will not be required to transfer the amount of the payment to the NEU just for the NEU to transfer it back to the State. As part of this process, the NEU must provide a signed notice to the State, which the State must transmit to Treasury as part of its interim report due August 31, 2021 (or as part of a subsequent report, if applicable). If the NEU does not provide such notice, it will remain legally obligated under the award with respect to accounting for the uses of the funds and the reporting on such uses. Treasury will provide a standard notice form that will be required for this use.</w:t>
      </w:r>
    </w:p>
    <w:p w14:paraId="69A89D82" w14:textId="18D69B06" w:rsidR="001847A8" w:rsidRPr="00411265" w:rsidRDefault="00471E79" w:rsidP="005358E6">
      <w:pPr>
        <w:shd w:val="clear" w:color="auto" w:fill="FFFFFF"/>
        <w:textAlignment w:val="baseline"/>
        <w:rPr>
          <w:rFonts w:cstheme="minorHAnsi"/>
          <w:sz w:val="20"/>
          <w:szCs w:val="20"/>
        </w:rPr>
      </w:pPr>
      <w:r>
        <w:rPr>
          <w:rFonts w:cstheme="minorHAnsi"/>
          <w:sz w:val="20"/>
          <w:szCs w:val="20"/>
        </w:rPr>
        <w:lastRenderedPageBreak/>
        <w:t xml:space="preserve">We will provide updates to this guidance if Treasury provides more information, however at this point it appears as though a NEU </w:t>
      </w:r>
      <w:r w:rsidR="008162AC">
        <w:rPr>
          <w:rFonts w:cstheme="minorHAnsi"/>
          <w:sz w:val="20"/>
          <w:szCs w:val="20"/>
        </w:rPr>
        <w:t>acceptance</w:t>
      </w:r>
      <w:r>
        <w:rPr>
          <w:rFonts w:cstheme="minorHAnsi"/>
          <w:sz w:val="20"/>
          <w:szCs w:val="20"/>
        </w:rPr>
        <w:t xml:space="preserve"> the first tranche</w:t>
      </w:r>
      <w:r w:rsidR="008162AC">
        <w:rPr>
          <w:rFonts w:cstheme="minorHAnsi"/>
          <w:sz w:val="20"/>
          <w:szCs w:val="20"/>
        </w:rPr>
        <w:t xml:space="preserve"> was an acceptance of the entire award (first tranche and second tranche), as a result, unless the NEU declined the entire award it will be unable to decline the second tranche.</w:t>
      </w:r>
    </w:p>
    <w:p w14:paraId="32176DEC" w14:textId="77777777" w:rsidR="006C21B7" w:rsidRDefault="006C21B7" w:rsidP="00586943">
      <w:pPr>
        <w:shd w:val="clear" w:color="auto" w:fill="FFFFFF"/>
        <w:textAlignment w:val="baseline"/>
        <w:rPr>
          <w:rFonts w:cstheme="minorHAnsi"/>
          <w:b/>
          <w:bCs/>
          <w:i/>
          <w:iCs/>
          <w:sz w:val="20"/>
          <w:szCs w:val="20"/>
        </w:rPr>
      </w:pPr>
    </w:p>
    <w:p w14:paraId="75007338" w14:textId="3B046159" w:rsidR="00586943" w:rsidRPr="00586943" w:rsidRDefault="00586943" w:rsidP="00586943">
      <w:pPr>
        <w:shd w:val="clear" w:color="auto" w:fill="FFFFFF"/>
        <w:textAlignment w:val="baseline"/>
        <w:rPr>
          <w:rFonts w:cstheme="minorHAnsi"/>
          <w:b/>
          <w:bCs/>
          <w:i/>
          <w:iCs/>
          <w:sz w:val="20"/>
          <w:szCs w:val="20"/>
        </w:rPr>
      </w:pPr>
      <w:r w:rsidRPr="00586943">
        <w:rPr>
          <w:rFonts w:cstheme="minorHAnsi"/>
          <w:b/>
          <w:bCs/>
          <w:i/>
          <w:iCs/>
          <w:sz w:val="20"/>
          <w:szCs w:val="20"/>
        </w:rPr>
        <w:t>When is the next report due?</w:t>
      </w:r>
    </w:p>
    <w:p w14:paraId="38871FEE" w14:textId="369C5FDE" w:rsidR="00E23072" w:rsidRDefault="00244A51" w:rsidP="00586943">
      <w:pPr>
        <w:shd w:val="clear" w:color="auto" w:fill="FFFFFF"/>
        <w:textAlignment w:val="baseline"/>
        <w:rPr>
          <w:sz w:val="20"/>
          <w:szCs w:val="20"/>
        </w:rPr>
      </w:pPr>
      <w:r w:rsidRPr="00244A51">
        <w:rPr>
          <w:sz w:val="20"/>
          <w:szCs w:val="20"/>
        </w:rPr>
        <w:t xml:space="preserve">For </w:t>
      </w:r>
      <w:r w:rsidR="00F078FA">
        <w:rPr>
          <w:sz w:val="20"/>
          <w:szCs w:val="20"/>
        </w:rPr>
        <w:t>NEUs which are allocated less than $10 million in federal funding (</w:t>
      </w:r>
      <w:r w:rsidR="00400E16">
        <w:rPr>
          <w:sz w:val="20"/>
          <w:szCs w:val="20"/>
        </w:rPr>
        <w:t>each</w:t>
      </w:r>
      <w:r w:rsidR="00F078FA">
        <w:rPr>
          <w:sz w:val="20"/>
          <w:szCs w:val="20"/>
        </w:rPr>
        <w:t xml:space="preserve"> NEU in New Hampshire),</w:t>
      </w:r>
      <w:r w:rsidRPr="00244A51">
        <w:rPr>
          <w:sz w:val="20"/>
          <w:szCs w:val="20"/>
        </w:rPr>
        <w:t xml:space="preserve"> the initial Project and Expenditure Report covered from March 3, 2021</w:t>
      </w:r>
      <w:r w:rsidR="00567DFA" w:rsidRPr="00244A51">
        <w:rPr>
          <w:sz w:val="20"/>
          <w:szCs w:val="20"/>
        </w:rPr>
        <w:t>,</w:t>
      </w:r>
      <w:r w:rsidRPr="00244A51">
        <w:rPr>
          <w:sz w:val="20"/>
          <w:szCs w:val="20"/>
        </w:rPr>
        <w:t xml:space="preserve"> to March 31, 2022 and was required to be submitted to Treasury by April 30, 2022.</w:t>
      </w:r>
    </w:p>
    <w:p w14:paraId="00EEA439" w14:textId="2B9FD5D5" w:rsidR="000D012E" w:rsidRPr="0041637B" w:rsidRDefault="00244A51" w:rsidP="00586943">
      <w:pPr>
        <w:shd w:val="clear" w:color="auto" w:fill="FFFFFF"/>
        <w:textAlignment w:val="baseline"/>
        <w:rPr>
          <w:sz w:val="20"/>
          <w:szCs w:val="20"/>
        </w:rPr>
      </w:pPr>
      <w:r w:rsidRPr="00E23072">
        <w:rPr>
          <w:sz w:val="20"/>
          <w:szCs w:val="20"/>
        </w:rPr>
        <w:t xml:space="preserve">The subsequent annual reports will cover one calendar year and must be submitted to Treasury by </w:t>
      </w:r>
      <w:r w:rsidRPr="0041637B">
        <w:rPr>
          <w:b/>
          <w:bCs/>
          <w:sz w:val="20"/>
          <w:szCs w:val="20"/>
        </w:rPr>
        <w:t>April 30</w:t>
      </w:r>
      <w:r w:rsidR="00703703" w:rsidRPr="0041637B">
        <w:rPr>
          <w:b/>
          <w:bCs/>
          <w:sz w:val="20"/>
          <w:szCs w:val="20"/>
        </w:rPr>
        <w:t xml:space="preserve"> of each year</w:t>
      </w:r>
      <w:r w:rsidRPr="0041637B">
        <w:rPr>
          <w:b/>
          <w:bCs/>
          <w:sz w:val="20"/>
          <w:szCs w:val="20"/>
        </w:rPr>
        <w:t>.</w:t>
      </w:r>
      <w:r w:rsidR="0041637B">
        <w:rPr>
          <w:b/>
          <w:bCs/>
          <w:sz w:val="20"/>
          <w:szCs w:val="20"/>
        </w:rPr>
        <w:t xml:space="preserve"> </w:t>
      </w:r>
      <w:r w:rsidR="0041637B">
        <w:rPr>
          <w:sz w:val="20"/>
          <w:szCs w:val="20"/>
        </w:rPr>
        <w:t xml:space="preserve">Your next report will be due </w:t>
      </w:r>
      <w:r w:rsidR="00DB0BBD">
        <w:rPr>
          <w:sz w:val="20"/>
          <w:szCs w:val="20"/>
        </w:rPr>
        <w:t>April 30, 2023.</w:t>
      </w:r>
    </w:p>
    <w:p w14:paraId="65917030" w14:textId="77777777" w:rsidR="00235100" w:rsidRDefault="00244A51" w:rsidP="00586943">
      <w:pPr>
        <w:shd w:val="clear" w:color="auto" w:fill="FFFFFF"/>
        <w:textAlignment w:val="baseline"/>
      </w:pPr>
      <w:r>
        <w:t xml:space="preserve"> </w:t>
      </w:r>
    </w:p>
    <w:p w14:paraId="1A93B321" w14:textId="3FA98649" w:rsidR="00586943" w:rsidRPr="00586943" w:rsidRDefault="00586943" w:rsidP="00586943">
      <w:pPr>
        <w:shd w:val="clear" w:color="auto" w:fill="FFFFFF"/>
        <w:textAlignment w:val="baseline"/>
        <w:rPr>
          <w:rFonts w:cstheme="minorHAnsi"/>
          <w:b/>
          <w:bCs/>
          <w:i/>
          <w:iCs/>
          <w:sz w:val="20"/>
          <w:szCs w:val="20"/>
        </w:rPr>
      </w:pPr>
      <w:r w:rsidRPr="00586943">
        <w:rPr>
          <w:rFonts w:cstheme="minorHAnsi"/>
          <w:b/>
          <w:bCs/>
          <w:i/>
          <w:iCs/>
          <w:sz w:val="20"/>
          <w:szCs w:val="20"/>
        </w:rPr>
        <w:t>As we start our projects should we be filling out the documents in our portals as we go along?</w:t>
      </w:r>
    </w:p>
    <w:p w14:paraId="3DEE7DCD" w14:textId="36B0326A" w:rsidR="00F207A7" w:rsidRDefault="00586943" w:rsidP="00586943">
      <w:pPr>
        <w:shd w:val="clear" w:color="auto" w:fill="FFFFFF"/>
        <w:textAlignment w:val="baseline"/>
        <w:rPr>
          <w:rFonts w:cstheme="minorHAnsi"/>
          <w:sz w:val="20"/>
          <w:szCs w:val="20"/>
        </w:rPr>
      </w:pPr>
      <w:r w:rsidRPr="00586943">
        <w:rPr>
          <w:rFonts w:cstheme="minorHAnsi"/>
          <w:sz w:val="20"/>
          <w:szCs w:val="20"/>
        </w:rPr>
        <w:t>It is recommended that NEUs track obligations and expenditures on an ongoing basis. This ensures that you have all of the necessary information when it is time to report</w:t>
      </w:r>
      <w:r w:rsidR="00F207A7">
        <w:rPr>
          <w:rFonts w:cstheme="minorHAnsi"/>
          <w:sz w:val="20"/>
          <w:szCs w:val="20"/>
        </w:rPr>
        <w:t>.</w:t>
      </w:r>
      <w:r w:rsidR="005462A0">
        <w:rPr>
          <w:rFonts w:cstheme="minorHAnsi"/>
          <w:sz w:val="20"/>
          <w:szCs w:val="20"/>
        </w:rPr>
        <w:t xml:space="preserve"> </w:t>
      </w:r>
      <w:r w:rsidR="0013702A" w:rsidRPr="0013702A">
        <w:rPr>
          <w:rFonts w:cstheme="minorHAnsi"/>
          <w:sz w:val="20"/>
          <w:szCs w:val="20"/>
        </w:rPr>
        <w:t>NEUs will be unable</w:t>
      </w:r>
      <w:r w:rsidR="005462A0">
        <w:rPr>
          <w:rFonts w:cstheme="minorHAnsi"/>
          <w:sz w:val="20"/>
          <w:szCs w:val="20"/>
        </w:rPr>
        <w:t xml:space="preserve"> to </w:t>
      </w:r>
      <w:r w:rsidR="0013702A" w:rsidRPr="0013702A">
        <w:rPr>
          <w:rFonts w:cstheme="minorHAnsi"/>
          <w:sz w:val="20"/>
          <w:szCs w:val="20"/>
        </w:rPr>
        <w:t xml:space="preserve">update the </w:t>
      </w:r>
      <w:r w:rsidR="005462A0">
        <w:rPr>
          <w:rFonts w:cstheme="minorHAnsi"/>
          <w:sz w:val="20"/>
          <w:szCs w:val="20"/>
        </w:rPr>
        <w:t xml:space="preserve">documents in the portal </w:t>
      </w:r>
      <w:r w:rsidR="0013702A" w:rsidRPr="0013702A">
        <w:rPr>
          <w:rFonts w:cstheme="minorHAnsi"/>
          <w:sz w:val="20"/>
          <w:szCs w:val="20"/>
        </w:rPr>
        <w:t>regularly throughout the year</w:t>
      </w:r>
      <w:r w:rsidR="0013702A">
        <w:rPr>
          <w:rFonts w:cstheme="minorHAnsi"/>
          <w:sz w:val="20"/>
          <w:szCs w:val="20"/>
        </w:rPr>
        <w:t xml:space="preserve"> (it is closed outside of a window </w:t>
      </w:r>
      <w:r w:rsidR="005462A0">
        <w:rPr>
          <w:rFonts w:cstheme="minorHAnsi"/>
          <w:sz w:val="20"/>
          <w:szCs w:val="20"/>
        </w:rPr>
        <w:t xml:space="preserve">prior to the </w:t>
      </w:r>
      <w:r w:rsidR="0013702A">
        <w:rPr>
          <w:rFonts w:cstheme="minorHAnsi"/>
          <w:sz w:val="20"/>
          <w:szCs w:val="20"/>
        </w:rPr>
        <w:t>reporting deadline)</w:t>
      </w:r>
      <w:r w:rsidR="00D701AD">
        <w:rPr>
          <w:rFonts w:cstheme="minorHAnsi"/>
          <w:sz w:val="20"/>
          <w:szCs w:val="20"/>
        </w:rPr>
        <w:t>,</w:t>
      </w:r>
      <w:r w:rsidR="00522D4F">
        <w:rPr>
          <w:rFonts w:cstheme="minorHAnsi"/>
          <w:sz w:val="20"/>
          <w:szCs w:val="20"/>
        </w:rPr>
        <w:t xml:space="preserve"> but </w:t>
      </w:r>
      <w:r w:rsidR="00F207A7">
        <w:rPr>
          <w:rFonts w:cstheme="minorHAnsi"/>
          <w:sz w:val="20"/>
          <w:szCs w:val="20"/>
        </w:rPr>
        <w:t>will be able to populate the reporting portal</w:t>
      </w:r>
      <w:r w:rsidR="0013702A" w:rsidRPr="0013702A">
        <w:rPr>
          <w:rFonts w:cstheme="minorHAnsi"/>
          <w:sz w:val="20"/>
          <w:szCs w:val="20"/>
        </w:rPr>
        <w:t xml:space="preserve"> in </w:t>
      </w:r>
      <w:r w:rsidR="00F207A7">
        <w:rPr>
          <w:rFonts w:cstheme="minorHAnsi"/>
          <w:sz w:val="20"/>
          <w:szCs w:val="20"/>
        </w:rPr>
        <w:t xml:space="preserve">early </w:t>
      </w:r>
      <w:r w:rsidR="0013702A" w:rsidRPr="0013702A">
        <w:rPr>
          <w:rFonts w:cstheme="minorHAnsi"/>
          <w:sz w:val="20"/>
          <w:szCs w:val="20"/>
        </w:rPr>
        <w:t>April 2023</w:t>
      </w:r>
      <w:r w:rsidR="00F207A7">
        <w:rPr>
          <w:rFonts w:cstheme="minorHAnsi"/>
          <w:sz w:val="20"/>
          <w:szCs w:val="20"/>
        </w:rPr>
        <w:t xml:space="preserve"> w</w:t>
      </w:r>
      <w:r w:rsidR="00816177">
        <w:rPr>
          <w:rFonts w:cstheme="minorHAnsi"/>
          <w:sz w:val="20"/>
          <w:szCs w:val="20"/>
        </w:rPr>
        <w:t>hen it reopens.</w:t>
      </w:r>
    </w:p>
    <w:p w14:paraId="64929B38" w14:textId="77777777" w:rsidR="00F207A7" w:rsidRDefault="00F207A7" w:rsidP="00586943">
      <w:pPr>
        <w:shd w:val="clear" w:color="auto" w:fill="FFFFFF"/>
        <w:textAlignment w:val="baseline"/>
        <w:rPr>
          <w:rFonts w:cstheme="minorHAnsi"/>
          <w:sz w:val="20"/>
          <w:szCs w:val="20"/>
        </w:rPr>
      </w:pPr>
    </w:p>
    <w:p w14:paraId="05CDBB47" w14:textId="015CEA3B" w:rsidR="00586943" w:rsidRPr="00586943" w:rsidRDefault="00586943" w:rsidP="00586943">
      <w:pPr>
        <w:shd w:val="clear" w:color="auto" w:fill="FFFFFF"/>
        <w:textAlignment w:val="baseline"/>
        <w:rPr>
          <w:rFonts w:cstheme="minorHAnsi"/>
          <w:b/>
          <w:bCs/>
          <w:i/>
          <w:iCs/>
          <w:sz w:val="20"/>
          <w:szCs w:val="20"/>
        </w:rPr>
      </w:pPr>
      <w:r w:rsidRPr="00586943">
        <w:rPr>
          <w:rFonts w:cstheme="minorHAnsi"/>
          <w:b/>
          <w:bCs/>
          <w:i/>
          <w:iCs/>
          <w:sz w:val="20"/>
          <w:szCs w:val="20"/>
        </w:rPr>
        <w:t>Is there a deadline to beginning/ending a project that has already been approved?</w:t>
      </w:r>
    </w:p>
    <w:p w14:paraId="409638DB" w14:textId="77777777" w:rsidR="00586943" w:rsidRPr="00586943" w:rsidRDefault="00586943" w:rsidP="00586943">
      <w:pPr>
        <w:shd w:val="clear" w:color="auto" w:fill="FFFFFF"/>
        <w:textAlignment w:val="baseline"/>
        <w:rPr>
          <w:rFonts w:cstheme="minorHAnsi"/>
          <w:sz w:val="20"/>
          <w:szCs w:val="20"/>
        </w:rPr>
      </w:pPr>
      <w:r w:rsidRPr="00586943">
        <w:rPr>
          <w:rFonts w:cstheme="minorHAnsi"/>
          <w:sz w:val="20"/>
          <w:szCs w:val="20"/>
        </w:rPr>
        <w:t xml:space="preserve">The following timeframes apply to use of the funds: </w:t>
      </w:r>
    </w:p>
    <w:p w14:paraId="5E100DE3" w14:textId="2AD7E1CF" w:rsidR="00586943" w:rsidRPr="00586943" w:rsidRDefault="00586943" w:rsidP="00586943">
      <w:pPr>
        <w:shd w:val="clear" w:color="auto" w:fill="FFFFFF"/>
        <w:textAlignment w:val="baseline"/>
        <w:rPr>
          <w:rFonts w:cstheme="minorHAnsi"/>
          <w:sz w:val="20"/>
          <w:szCs w:val="20"/>
        </w:rPr>
      </w:pPr>
      <w:r w:rsidRPr="00586943">
        <w:rPr>
          <w:rFonts w:cstheme="minorHAnsi"/>
          <w:sz w:val="20"/>
          <w:szCs w:val="20"/>
          <w:u w:val="single"/>
        </w:rPr>
        <w:t>Timeframe to award (obligate) funds</w:t>
      </w:r>
      <w:r w:rsidRPr="00586943">
        <w:rPr>
          <w:rFonts w:cstheme="minorHAnsi"/>
          <w:sz w:val="20"/>
          <w:szCs w:val="20"/>
        </w:rPr>
        <w:t>: March 3, 2021</w:t>
      </w:r>
      <w:r w:rsidR="00792A58">
        <w:rPr>
          <w:rFonts w:cstheme="minorHAnsi"/>
          <w:sz w:val="20"/>
          <w:szCs w:val="20"/>
        </w:rPr>
        <w:t xml:space="preserve"> </w:t>
      </w:r>
      <w:r w:rsidRPr="00586943">
        <w:rPr>
          <w:rFonts w:cstheme="minorHAnsi"/>
          <w:sz w:val="20"/>
          <w:szCs w:val="20"/>
        </w:rPr>
        <w:t>- December 31, 2024</w:t>
      </w:r>
    </w:p>
    <w:p w14:paraId="28F19F9F" w14:textId="4B3E328B" w:rsidR="00586943" w:rsidRDefault="00586943" w:rsidP="00586943">
      <w:pPr>
        <w:shd w:val="clear" w:color="auto" w:fill="FFFFFF"/>
        <w:textAlignment w:val="baseline"/>
        <w:rPr>
          <w:rFonts w:cstheme="minorHAnsi"/>
          <w:sz w:val="20"/>
          <w:szCs w:val="20"/>
        </w:rPr>
      </w:pPr>
      <w:r w:rsidRPr="00586943">
        <w:rPr>
          <w:rFonts w:cstheme="minorHAnsi"/>
          <w:sz w:val="20"/>
          <w:szCs w:val="20"/>
          <w:u w:val="single"/>
        </w:rPr>
        <w:t>Timeframe to expend (liquidate) funds</w:t>
      </w:r>
      <w:r w:rsidRPr="00586943">
        <w:rPr>
          <w:rFonts w:cstheme="minorHAnsi"/>
          <w:sz w:val="20"/>
          <w:szCs w:val="20"/>
        </w:rPr>
        <w:t xml:space="preserve">: </w:t>
      </w:r>
      <w:r w:rsidR="00C747BA">
        <w:rPr>
          <w:rFonts w:cstheme="minorHAnsi"/>
          <w:sz w:val="20"/>
          <w:szCs w:val="20"/>
        </w:rPr>
        <w:t xml:space="preserve">March 3, 2021 - </w:t>
      </w:r>
      <w:r w:rsidRPr="00586943">
        <w:rPr>
          <w:rFonts w:cstheme="minorHAnsi"/>
          <w:sz w:val="20"/>
          <w:szCs w:val="20"/>
        </w:rPr>
        <w:t>December 31, 2026</w:t>
      </w:r>
    </w:p>
    <w:p w14:paraId="6A56CB28" w14:textId="5B915AF1" w:rsidR="00420A07" w:rsidRPr="00586943" w:rsidRDefault="00420A07" w:rsidP="00586943">
      <w:pPr>
        <w:shd w:val="clear" w:color="auto" w:fill="FFFFFF"/>
        <w:textAlignment w:val="baseline"/>
        <w:rPr>
          <w:rFonts w:cstheme="minorHAnsi"/>
          <w:sz w:val="20"/>
          <w:szCs w:val="20"/>
        </w:rPr>
      </w:pPr>
      <w:r>
        <w:rPr>
          <w:rFonts w:cstheme="minorHAnsi"/>
          <w:sz w:val="20"/>
          <w:szCs w:val="20"/>
        </w:rPr>
        <w:t>In other words, funds must be</w:t>
      </w:r>
      <w:r w:rsidR="00FA4D46">
        <w:rPr>
          <w:rFonts w:cstheme="minorHAnsi"/>
          <w:sz w:val="20"/>
          <w:szCs w:val="20"/>
        </w:rPr>
        <w:t xml:space="preserve"> </w:t>
      </w:r>
      <w:r w:rsidR="00454691">
        <w:rPr>
          <w:rFonts w:cstheme="minorHAnsi"/>
          <w:sz w:val="20"/>
          <w:szCs w:val="20"/>
        </w:rPr>
        <w:t>assigned</w:t>
      </w:r>
      <w:r w:rsidR="00FA4D46">
        <w:rPr>
          <w:rFonts w:cstheme="minorHAnsi"/>
          <w:sz w:val="20"/>
          <w:szCs w:val="20"/>
        </w:rPr>
        <w:t xml:space="preserve"> to a </w:t>
      </w:r>
      <w:r w:rsidR="00454691">
        <w:rPr>
          <w:rFonts w:cstheme="minorHAnsi"/>
          <w:sz w:val="20"/>
          <w:szCs w:val="20"/>
        </w:rPr>
        <w:t>specific project</w:t>
      </w:r>
      <w:r w:rsidR="00D56185">
        <w:rPr>
          <w:rFonts w:cstheme="minorHAnsi"/>
          <w:sz w:val="20"/>
          <w:szCs w:val="20"/>
        </w:rPr>
        <w:t>, subrecipient,</w:t>
      </w:r>
      <w:r w:rsidR="00454691">
        <w:rPr>
          <w:rFonts w:cstheme="minorHAnsi"/>
          <w:sz w:val="20"/>
          <w:szCs w:val="20"/>
        </w:rPr>
        <w:t xml:space="preserve"> contract</w:t>
      </w:r>
      <w:r w:rsidR="00D56185">
        <w:rPr>
          <w:rFonts w:cstheme="minorHAnsi"/>
          <w:sz w:val="20"/>
          <w:szCs w:val="20"/>
        </w:rPr>
        <w:t>, or beneficiary by December 31, 2024. Those funds</w:t>
      </w:r>
      <w:r w:rsidR="009E1A29">
        <w:rPr>
          <w:rFonts w:cstheme="minorHAnsi"/>
          <w:sz w:val="20"/>
          <w:szCs w:val="20"/>
        </w:rPr>
        <w:t xml:space="preserve"> then</w:t>
      </w:r>
      <w:r w:rsidR="00D56185">
        <w:rPr>
          <w:rFonts w:cstheme="minorHAnsi"/>
          <w:sz w:val="20"/>
          <w:szCs w:val="20"/>
        </w:rPr>
        <w:t xml:space="preserve"> must be</w:t>
      </w:r>
      <w:r w:rsidR="00594660">
        <w:rPr>
          <w:rFonts w:cstheme="minorHAnsi"/>
          <w:sz w:val="20"/>
          <w:szCs w:val="20"/>
        </w:rPr>
        <w:t xml:space="preserve"> completely</w:t>
      </w:r>
      <w:r w:rsidR="00D56185">
        <w:rPr>
          <w:rFonts w:cstheme="minorHAnsi"/>
          <w:sz w:val="20"/>
          <w:szCs w:val="20"/>
        </w:rPr>
        <w:t xml:space="preserve"> spent by</w:t>
      </w:r>
      <w:r w:rsidR="00835447">
        <w:rPr>
          <w:rFonts w:cstheme="minorHAnsi"/>
          <w:sz w:val="20"/>
          <w:szCs w:val="20"/>
        </w:rPr>
        <w:t xml:space="preserve"> </w:t>
      </w:r>
      <w:r w:rsidR="00594660">
        <w:rPr>
          <w:rFonts w:cstheme="minorHAnsi"/>
          <w:sz w:val="20"/>
          <w:szCs w:val="20"/>
        </w:rPr>
        <w:t>December 31, 2026.</w:t>
      </w:r>
    </w:p>
    <w:p w14:paraId="08B158AB" w14:textId="77777777" w:rsidR="00816177" w:rsidRDefault="00816177" w:rsidP="00586943">
      <w:pPr>
        <w:shd w:val="clear" w:color="auto" w:fill="FFFFFF"/>
        <w:textAlignment w:val="baseline"/>
        <w:rPr>
          <w:rFonts w:cstheme="minorHAnsi"/>
          <w:b/>
          <w:bCs/>
          <w:i/>
          <w:iCs/>
          <w:sz w:val="20"/>
          <w:szCs w:val="20"/>
        </w:rPr>
      </w:pPr>
    </w:p>
    <w:p w14:paraId="58856EA7" w14:textId="208AD245" w:rsidR="00586943" w:rsidRPr="00586943" w:rsidRDefault="00586943" w:rsidP="00586943">
      <w:pPr>
        <w:shd w:val="clear" w:color="auto" w:fill="FFFFFF"/>
        <w:textAlignment w:val="baseline"/>
        <w:rPr>
          <w:rFonts w:cstheme="minorHAnsi"/>
          <w:b/>
          <w:bCs/>
          <w:i/>
          <w:iCs/>
          <w:sz w:val="20"/>
          <w:szCs w:val="20"/>
        </w:rPr>
      </w:pPr>
      <w:r w:rsidRPr="00586943">
        <w:rPr>
          <w:rFonts w:cstheme="minorHAnsi"/>
          <w:b/>
          <w:bCs/>
          <w:i/>
          <w:iCs/>
          <w:sz w:val="20"/>
          <w:szCs w:val="20"/>
        </w:rPr>
        <w:t>Annual Reporting: Has there been any indication a project submitted under one expenditure category could be adjusted to another (e.g. water to revenue loss)?</w:t>
      </w:r>
    </w:p>
    <w:p w14:paraId="30D8B742" w14:textId="2CB92D93" w:rsidR="00BB0C8E" w:rsidRDefault="00586943" w:rsidP="002241E9">
      <w:pPr>
        <w:shd w:val="clear" w:color="auto" w:fill="FFFFFF"/>
        <w:textAlignment w:val="baseline"/>
        <w:rPr>
          <w:rFonts w:cstheme="minorHAnsi"/>
          <w:sz w:val="20"/>
          <w:szCs w:val="20"/>
        </w:rPr>
      </w:pPr>
      <w:r w:rsidRPr="00586943">
        <w:rPr>
          <w:rFonts w:cstheme="minorHAnsi"/>
          <w:sz w:val="20"/>
          <w:szCs w:val="20"/>
        </w:rPr>
        <w:t>Yes. A project’s expenditure category can be adjusted between reports</w:t>
      </w:r>
      <w:r w:rsidR="00BB0C8E">
        <w:rPr>
          <w:rFonts w:cstheme="minorHAnsi"/>
          <w:sz w:val="20"/>
          <w:szCs w:val="20"/>
        </w:rPr>
        <w:t>, and it is advisable for all NEUs to report all activities under the</w:t>
      </w:r>
      <w:r w:rsidR="00872C59">
        <w:rPr>
          <w:rFonts w:cstheme="minorHAnsi"/>
          <w:sz w:val="20"/>
          <w:szCs w:val="20"/>
        </w:rPr>
        <w:t xml:space="preserve"> “Revenue Loss” expenditure category.</w:t>
      </w:r>
    </w:p>
    <w:p w14:paraId="098DA1CE" w14:textId="626237B6" w:rsidR="002241E9" w:rsidRPr="002241E9" w:rsidRDefault="002241E9" w:rsidP="002241E9">
      <w:pPr>
        <w:shd w:val="clear" w:color="auto" w:fill="FFFFFF"/>
        <w:textAlignment w:val="baseline"/>
        <w:rPr>
          <w:rFonts w:cstheme="minorHAnsi"/>
          <w:sz w:val="20"/>
          <w:szCs w:val="20"/>
        </w:rPr>
      </w:pPr>
      <w:r w:rsidRPr="002241E9">
        <w:rPr>
          <w:rFonts w:cstheme="minorHAnsi"/>
          <w:sz w:val="20"/>
          <w:szCs w:val="20"/>
        </w:rPr>
        <w:t xml:space="preserve">As mentioned previously, </w:t>
      </w:r>
      <w:r w:rsidR="00A9236B">
        <w:rPr>
          <w:rFonts w:cstheme="minorHAnsi"/>
          <w:sz w:val="20"/>
          <w:szCs w:val="20"/>
        </w:rPr>
        <w:t>i</w:t>
      </w:r>
      <w:r w:rsidRPr="002241E9">
        <w:rPr>
          <w:rFonts w:cstheme="minorHAnsi"/>
          <w:sz w:val="20"/>
          <w:szCs w:val="20"/>
        </w:rPr>
        <w:t>n the Final Rule, Treasury gives local government recipients the option to elect</w:t>
      </w:r>
      <w:r w:rsidR="00907CC0">
        <w:rPr>
          <w:rFonts w:cstheme="minorHAnsi"/>
          <w:sz w:val="20"/>
          <w:szCs w:val="20"/>
        </w:rPr>
        <w:t xml:space="preserve"> a </w:t>
      </w:r>
      <w:r w:rsidRPr="002241E9">
        <w:rPr>
          <w:rFonts w:cstheme="minorHAnsi"/>
          <w:sz w:val="20"/>
          <w:szCs w:val="20"/>
        </w:rPr>
        <w:t xml:space="preserve">"standard allowance" of up to $10 million to spend on government services under the </w:t>
      </w:r>
      <w:r w:rsidR="00872C59">
        <w:rPr>
          <w:rFonts w:cstheme="minorHAnsi"/>
          <w:sz w:val="20"/>
          <w:szCs w:val="20"/>
        </w:rPr>
        <w:t>“</w:t>
      </w:r>
      <w:r w:rsidRPr="002241E9">
        <w:rPr>
          <w:rFonts w:cstheme="minorHAnsi"/>
          <w:sz w:val="20"/>
          <w:szCs w:val="20"/>
        </w:rPr>
        <w:t xml:space="preserve">Revenue </w:t>
      </w:r>
      <w:r w:rsidR="00411E95">
        <w:rPr>
          <w:rFonts w:cstheme="minorHAnsi"/>
          <w:sz w:val="20"/>
          <w:szCs w:val="20"/>
        </w:rPr>
        <w:t>Loss</w:t>
      </w:r>
      <w:r w:rsidR="00872C59">
        <w:rPr>
          <w:rFonts w:cstheme="minorHAnsi"/>
          <w:sz w:val="20"/>
          <w:szCs w:val="20"/>
        </w:rPr>
        <w:t>”</w:t>
      </w:r>
      <w:r w:rsidRPr="002241E9">
        <w:rPr>
          <w:rFonts w:cstheme="minorHAnsi"/>
          <w:sz w:val="20"/>
          <w:szCs w:val="20"/>
        </w:rPr>
        <w:t xml:space="preserve"> category, E.C</w:t>
      </w:r>
      <w:r w:rsidR="007B6190">
        <w:rPr>
          <w:rFonts w:cstheme="minorHAnsi"/>
          <w:sz w:val="20"/>
          <w:szCs w:val="20"/>
        </w:rPr>
        <w:t>.</w:t>
      </w:r>
      <w:r w:rsidRPr="002241E9">
        <w:rPr>
          <w:rFonts w:cstheme="minorHAnsi"/>
          <w:sz w:val="20"/>
          <w:szCs w:val="20"/>
        </w:rPr>
        <w:t xml:space="preserve"> 6.1.</w:t>
      </w:r>
      <w:r w:rsidR="007B6190">
        <w:rPr>
          <w:rFonts w:cstheme="minorHAnsi"/>
          <w:sz w:val="20"/>
          <w:szCs w:val="20"/>
        </w:rPr>
        <w:t xml:space="preserve"> Choosing this option is highly recommended for all NEUs, as the </w:t>
      </w:r>
      <w:r w:rsidR="00411E95">
        <w:rPr>
          <w:rFonts w:cstheme="minorHAnsi"/>
          <w:sz w:val="20"/>
          <w:szCs w:val="20"/>
        </w:rPr>
        <w:t xml:space="preserve">requirements for </w:t>
      </w:r>
      <w:r w:rsidR="009C60F6">
        <w:rPr>
          <w:rFonts w:cstheme="minorHAnsi"/>
          <w:sz w:val="20"/>
          <w:szCs w:val="20"/>
        </w:rPr>
        <w:t>Revenue Loss projects are significantly less burdensome than any other expenditure category.</w:t>
      </w:r>
    </w:p>
    <w:p w14:paraId="0A90EDD3" w14:textId="4D76F2CA" w:rsidR="00586943" w:rsidRPr="00586943" w:rsidRDefault="002241E9" w:rsidP="005358E6">
      <w:pPr>
        <w:shd w:val="clear" w:color="auto" w:fill="FFFFFF"/>
        <w:textAlignment w:val="baseline"/>
        <w:rPr>
          <w:rFonts w:cstheme="minorHAnsi"/>
          <w:sz w:val="20"/>
          <w:szCs w:val="20"/>
        </w:rPr>
      </w:pPr>
      <w:r w:rsidRPr="002241E9">
        <w:rPr>
          <w:rFonts w:cstheme="minorHAnsi"/>
          <w:sz w:val="20"/>
          <w:szCs w:val="20"/>
        </w:rPr>
        <w:t xml:space="preserve">This option means that as an NEU that received less than $10 million, </w:t>
      </w:r>
      <w:r w:rsidR="009C60F6">
        <w:rPr>
          <w:rFonts w:cstheme="minorHAnsi"/>
          <w:sz w:val="20"/>
          <w:szCs w:val="20"/>
        </w:rPr>
        <w:t>the NEU</w:t>
      </w:r>
      <w:r w:rsidRPr="002241E9">
        <w:rPr>
          <w:rFonts w:cstheme="minorHAnsi"/>
          <w:sz w:val="20"/>
          <w:szCs w:val="20"/>
        </w:rPr>
        <w:t xml:space="preserve"> can spend </w:t>
      </w:r>
      <w:r w:rsidR="009C60F6">
        <w:rPr>
          <w:rFonts w:cstheme="minorHAnsi"/>
          <w:sz w:val="20"/>
          <w:szCs w:val="20"/>
        </w:rPr>
        <w:t>its</w:t>
      </w:r>
      <w:r w:rsidRPr="002241E9">
        <w:rPr>
          <w:rFonts w:cstheme="minorHAnsi"/>
          <w:sz w:val="20"/>
          <w:szCs w:val="20"/>
        </w:rPr>
        <w:t xml:space="preserve"> entire allocation of LFRFs on “government services”. Treasury has noted that, in general, “government services” </w:t>
      </w:r>
      <w:r w:rsidRPr="002241E9">
        <w:rPr>
          <w:rFonts w:cstheme="minorHAnsi"/>
          <w:b/>
          <w:bCs/>
          <w:sz w:val="20"/>
          <w:szCs w:val="20"/>
        </w:rPr>
        <w:t>include most services provided by</w:t>
      </w:r>
      <w:r w:rsidR="00907CC0" w:rsidRPr="002241E9">
        <w:rPr>
          <w:rFonts w:cstheme="minorHAnsi"/>
          <w:b/>
          <w:sz w:val="20"/>
          <w:szCs w:val="20"/>
        </w:rPr>
        <w:t xml:space="preserve"> </w:t>
      </w:r>
      <w:r w:rsidR="00586943" w:rsidRPr="002241E9">
        <w:rPr>
          <w:rFonts w:cstheme="minorHAnsi"/>
          <w:b/>
          <w:sz w:val="20"/>
          <w:szCs w:val="20"/>
        </w:rPr>
        <w:t>NEUs</w:t>
      </w:r>
      <w:r w:rsidR="009C60F6">
        <w:rPr>
          <w:rFonts w:cstheme="minorHAnsi"/>
          <w:b/>
          <w:sz w:val="20"/>
          <w:szCs w:val="20"/>
        </w:rPr>
        <w:t>, and also include all activities eligible under other expenditure categories</w:t>
      </w:r>
      <w:r>
        <w:rPr>
          <w:rFonts w:cstheme="minorHAnsi"/>
          <w:b/>
          <w:bCs/>
          <w:sz w:val="20"/>
          <w:szCs w:val="20"/>
        </w:rPr>
        <w:t xml:space="preserve">. </w:t>
      </w:r>
      <w:r w:rsidRPr="002241E9">
        <w:rPr>
          <w:rFonts w:cstheme="minorHAnsi"/>
          <w:sz w:val="20"/>
          <w:szCs w:val="20"/>
        </w:rPr>
        <w:t>We</w:t>
      </w:r>
      <w:r w:rsidR="00586943" w:rsidRPr="00586943">
        <w:rPr>
          <w:rFonts w:cstheme="minorHAnsi"/>
          <w:sz w:val="20"/>
          <w:szCs w:val="20"/>
        </w:rPr>
        <w:t xml:space="preserve"> strongly </w:t>
      </w:r>
      <w:r w:rsidRPr="002241E9">
        <w:rPr>
          <w:rFonts w:cstheme="minorHAnsi"/>
          <w:sz w:val="20"/>
          <w:szCs w:val="20"/>
        </w:rPr>
        <w:t>encourage NEUs to align all</w:t>
      </w:r>
      <w:r w:rsidR="00586943" w:rsidRPr="00586943">
        <w:rPr>
          <w:rFonts w:cstheme="minorHAnsi"/>
          <w:sz w:val="20"/>
          <w:szCs w:val="20"/>
        </w:rPr>
        <w:t xml:space="preserve"> project</w:t>
      </w:r>
      <w:r w:rsidR="009140CA">
        <w:rPr>
          <w:rFonts w:cstheme="minorHAnsi"/>
          <w:sz w:val="20"/>
          <w:szCs w:val="20"/>
        </w:rPr>
        <w:t>s</w:t>
      </w:r>
      <w:r w:rsidR="00586943" w:rsidRPr="00586943">
        <w:rPr>
          <w:rFonts w:cstheme="minorHAnsi"/>
          <w:sz w:val="20"/>
          <w:szCs w:val="20"/>
        </w:rPr>
        <w:t xml:space="preserve"> under</w:t>
      </w:r>
      <w:r w:rsidR="00907CC0">
        <w:rPr>
          <w:rFonts w:cstheme="minorHAnsi"/>
          <w:sz w:val="20"/>
          <w:szCs w:val="20"/>
        </w:rPr>
        <w:t>,</w:t>
      </w:r>
      <w:r w:rsidR="00586943" w:rsidRPr="00586943">
        <w:rPr>
          <w:rFonts w:cstheme="minorHAnsi"/>
          <w:sz w:val="20"/>
          <w:szCs w:val="20"/>
        </w:rPr>
        <w:t xml:space="preserve"> E</w:t>
      </w:r>
      <w:r w:rsidR="00405AF2">
        <w:rPr>
          <w:rFonts w:cstheme="minorHAnsi"/>
          <w:sz w:val="20"/>
          <w:szCs w:val="20"/>
        </w:rPr>
        <w:t>.</w:t>
      </w:r>
      <w:r w:rsidR="00586943" w:rsidRPr="00586943">
        <w:rPr>
          <w:rFonts w:cstheme="minorHAnsi"/>
          <w:sz w:val="20"/>
          <w:szCs w:val="20"/>
        </w:rPr>
        <w:t>C</w:t>
      </w:r>
      <w:r w:rsidR="00405AF2">
        <w:rPr>
          <w:rFonts w:cstheme="minorHAnsi"/>
          <w:sz w:val="20"/>
          <w:szCs w:val="20"/>
        </w:rPr>
        <w:t>.</w:t>
      </w:r>
      <w:r w:rsidR="00586943" w:rsidRPr="00586943">
        <w:rPr>
          <w:rFonts w:cstheme="minorHAnsi"/>
          <w:sz w:val="20"/>
          <w:szCs w:val="20"/>
        </w:rPr>
        <w:t xml:space="preserve"> 6.1 – Provision of Government Services</w:t>
      </w:r>
      <w:r w:rsidR="00D3434A">
        <w:rPr>
          <w:rFonts w:cstheme="minorHAnsi"/>
          <w:sz w:val="20"/>
          <w:szCs w:val="20"/>
        </w:rPr>
        <w:t xml:space="preserve"> due to</w:t>
      </w:r>
      <w:r w:rsidR="00597CC6">
        <w:rPr>
          <w:rFonts w:cstheme="minorHAnsi"/>
          <w:sz w:val="20"/>
          <w:szCs w:val="20"/>
        </w:rPr>
        <w:t xml:space="preserve"> the broad eligibility </w:t>
      </w:r>
      <w:r w:rsidR="00686D54">
        <w:rPr>
          <w:rFonts w:cstheme="minorHAnsi"/>
          <w:sz w:val="20"/>
          <w:szCs w:val="20"/>
        </w:rPr>
        <w:t>allowed</w:t>
      </w:r>
      <w:r w:rsidR="00597CC6">
        <w:rPr>
          <w:rFonts w:cstheme="minorHAnsi"/>
          <w:sz w:val="20"/>
          <w:szCs w:val="20"/>
        </w:rPr>
        <w:t xml:space="preserve"> and streamlined reporting requirements</w:t>
      </w:r>
      <w:r w:rsidR="00686D54">
        <w:rPr>
          <w:rFonts w:cstheme="minorHAnsi"/>
          <w:sz w:val="20"/>
          <w:szCs w:val="20"/>
        </w:rPr>
        <w:t>.</w:t>
      </w:r>
    </w:p>
    <w:sectPr w:rsidR="00586943" w:rsidRPr="0058694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AC16E4" w14:textId="77777777" w:rsidR="00B67955" w:rsidRDefault="00B67955" w:rsidP="00333DBB">
      <w:pPr>
        <w:spacing w:after="0" w:line="240" w:lineRule="auto"/>
      </w:pPr>
      <w:r>
        <w:separator/>
      </w:r>
    </w:p>
  </w:endnote>
  <w:endnote w:type="continuationSeparator" w:id="0">
    <w:p w14:paraId="7D8FA807" w14:textId="77777777" w:rsidR="00B67955" w:rsidRDefault="00B67955" w:rsidP="00333DBB">
      <w:pPr>
        <w:spacing w:after="0" w:line="240" w:lineRule="auto"/>
      </w:pPr>
      <w:r>
        <w:continuationSeparator/>
      </w:r>
    </w:p>
  </w:endnote>
  <w:endnote w:type="continuationNotice" w:id="1">
    <w:p w14:paraId="00CC3173" w14:textId="77777777" w:rsidR="00B67955" w:rsidRDefault="00B6795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59C7F0" w14:textId="77777777" w:rsidR="00B67955" w:rsidRDefault="00B67955" w:rsidP="00333DBB">
      <w:pPr>
        <w:spacing w:after="0" w:line="240" w:lineRule="auto"/>
      </w:pPr>
      <w:r>
        <w:separator/>
      </w:r>
    </w:p>
  </w:footnote>
  <w:footnote w:type="continuationSeparator" w:id="0">
    <w:p w14:paraId="3D97BF80" w14:textId="77777777" w:rsidR="00B67955" w:rsidRDefault="00B67955" w:rsidP="00333DBB">
      <w:pPr>
        <w:spacing w:after="0" w:line="240" w:lineRule="auto"/>
      </w:pPr>
      <w:r>
        <w:continuationSeparator/>
      </w:r>
    </w:p>
  </w:footnote>
  <w:footnote w:type="continuationNotice" w:id="1">
    <w:p w14:paraId="19E65B6C" w14:textId="77777777" w:rsidR="00B67955" w:rsidRDefault="00B67955">
      <w:pPr>
        <w:spacing w:after="0" w:line="240" w:lineRule="auto"/>
      </w:pPr>
    </w:p>
  </w:footnote>
  <w:footnote w:id="2">
    <w:p w14:paraId="5C232A9D" w14:textId="4102D07B" w:rsidR="00B657CD" w:rsidRDefault="00B657CD">
      <w:pPr>
        <w:pStyle w:val="FootnoteText"/>
      </w:pPr>
      <w:r>
        <w:rPr>
          <w:rStyle w:val="FootnoteReference"/>
        </w:rPr>
        <w:footnoteRef/>
      </w:r>
      <w:r>
        <w:t xml:space="preserve"> </w:t>
      </w:r>
      <w:r w:rsidRPr="00C808D6">
        <w:rPr>
          <w:sz w:val="16"/>
          <w:szCs w:val="16"/>
        </w:rPr>
        <w:t>2 CFR 200.</w:t>
      </w:r>
      <w:r>
        <w:rPr>
          <w:sz w:val="16"/>
          <w:szCs w:val="16"/>
        </w:rPr>
        <w:t>404(e)</w:t>
      </w:r>
    </w:p>
  </w:footnote>
  <w:footnote w:id="3">
    <w:p w14:paraId="04A2BE82" w14:textId="1CAEF2F9" w:rsidR="000B79D4" w:rsidRPr="00D01C3C" w:rsidRDefault="000B79D4" w:rsidP="000B79D4">
      <w:pPr>
        <w:pStyle w:val="NormalWeb"/>
        <w:shd w:val="clear" w:color="auto" w:fill="FFFFFF"/>
        <w:spacing w:before="0" w:beforeAutospacing="0" w:after="0" w:afterAutospacing="0"/>
        <w:rPr>
          <w:rFonts w:asciiTheme="minorHAnsi" w:hAnsiTheme="minorHAnsi" w:cstheme="minorHAnsi"/>
          <w:color w:val="201F1E"/>
          <w:sz w:val="20"/>
          <w:szCs w:val="20"/>
          <w:bdr w:val="none" w:sz="0" w:space="0" w:color="auto" w:frame="1"/>
          <w:shd w:val="clear" w:color="auto" w:fill="FFFFFF"/>
        </w:rPr>
      </w:pPr>
      <w:r>
        <w:rPr>
          <w:rStyle w:val="FootnoteReference"/>
        </w:rPr>
        <w:footnoteRef/>
      </w:r>
      <w:r>
        <w:t xml:space="preserve"> </w:t>
      </w:r>
      <w:r w:rsidRPr="00D01C3C">
        <w:rPr>
          <w:rFonts w:asciiTheme="minorHAnsi" w:hAnsiTheme="minorHAnsi" w:cstheme="minorHAnsi"/>
          <w:color w:val="201F1E"/>
          <w:sz w:val="20"/>
          <w:szCs w:val="20"/>
          <w:bdr w:val="none" w:sz="0" w:space="0" w:color="auto" w:frame="1"/>
          <w:shd w:val="clear" w:color="auto" w:fill="FFFFFF"/>
        </w:rPr>
        <w:t>87 FR 4</w:t>
      </w:r>
      <w:r>
        <w:rPr>
          <w:rFonts w:asciiTheme="minorHAnsi" w:hAnsiTheme="minorHAnsi" w:cstheme="minorHAnsi"/>
          <w:color w:val="201F1E"/>
          <w:sz w:val="20"/>
          <w:szCs w:val="20"/>
          <w:bdr w:val="none" w:sz="0" w:space="0" w:color="auto" w:frame="1"/>
          <w:shd w:val="clear" w:color="auto" w:fill="FFFFFF"/>
        </w:rPr>
        <w:t>408</w:t>
      </w:r>
      <w:r w:rsidRPr="00D01C3C">
        <w:rPr>
          <w:rFonts w:asciiTheme="minorHAnsi" w:hAnsiTheme="minorHAnsi" w:cstheme="minorHAnsi"/>
          <w:color w:val="201F1E"/>
          <w:sz w:val="20"/>
          <w:szCs w:val="20"/>
          <w:bdr w:val="none" w:sz="0" w:space="0" w:color="auto" w:frame="1"/>
          <w:shd w:val="clear" w:color="auto" w:fill="FFFFFF"/>
        </w:rPr>
        <w:t xml:space="preserve"> (January 27, 2022)</w:t>
      </w:r>
    </w:p>
    <w:p w14:paraId="6284742B" w14:textId="7273294F" w:rsidR="000B79D4" w:rsidRDefault="000B79D4">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CF3235"/>
    <w:multiLevelType w:val="hybridMultilevel"/>
    <w:tmpl w:val="D750A1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6DC1B84"/>
    <w:multiLevelType w:val="hybridMultilevel"/>
    <w:tmpl w:val="B33CB3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1D6015B2"/>
    <w:multiLevelType w:val="hybridMultilevel"/>
    <w:tmpl w:val="1B029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59635DD"/>
    <w:multiLevelType w:val="hybridMultilevel"/>
    <w:tmpl w:val="89BEA1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66075BA"/>
    <w:multiLevelType w:val="hybridMultilevel"/>
    <w:tmpl w:val="5EEE2F2E"/>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5" w15:restartNumberingAfterBreak="0">
    <w:nsid w:val="483C7827"/>
    <w:multiLevelType w:val="hybridMultilevel"/>
    <w:tmpl w:val="8FBEE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4737CAA"/>
    <w:multiLevelType w:val="hybridMultilevel"/>
    <w:tmpl w:val="B8F406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2322F31"/>
    <w:multiLevelType w:val="hybridMultilevel"/>
    <w:tmpl w:val="31725C4A"/>
    <w:lvl w:ilvl="0" w:tplc="1D162FA8">
      <w:start w:val="1"/>
      <w:numFmt w:val="bullet"/>
      <w:lvlText w:val=""/>
      <w:lvlJc w:val="left"/>
      <w:pPr>
        <w:ind w:left="720" w:hanging="360"/>
      </w:pPr>
      <w:rPr>
        <w:rFonts w:ascii="Symbol" w:hAnsi="Symbol" w:hint="default"/>
      </w:rPr>
    </w:lvl>
    <w:lvl w:ilvl="1" w:tplc="B8483F30">
      <w:start w:val="1"/>
      <w:numFmt w:val="bullet"/>
      <w:lvlText w:val="o"/>
      <w:lvlJc w:val="left"/>
      <w:pPr>
        <w:ind w:left="1440" w:hanging="360"/>
      </w:pPr>
      <w:rPr>
        <w:rFonts w:ascii="Courier New" w:hAnsi="Courier New" w:hint="default"/>
      </w:rPr>
    </w:lvl>
    <w:lvl w:ilvl="2" w:tplc="612C43E2">
      <w:start w:val="1"/>
      <w:numFmt w:val="bullet"/>
      <w:lvlText w:val=""/>
      <w:lvlJc w:val="left"/>
      <w:pPr>
        <w:ind w:left="2160" w:hanging="360"/>
      </w:pPr>
      <w:rPr>
        <w:rFonts w:ascii="Wingdings" w:hAnsi="Wingdings" w:hint="default"/>
      </w:rPr>
    </w:lvl>
    <w:lvl w:ilvl="3" w:tplc="AE744078">
      <w:start w:val="1"/>
      <w:numFmt w:val="bullet"/>
      <w:lvlText w:val=""/>
      <w:lvlJc w:val="left"/>
      <w:pPr>
        <w:ind w:left="2880" w:hanging="360"/>
      </w:pPr>
      <w:rPr>
        <w:rFonts w:ascii="Symbol" w:hAnsi="Symbol" w:hint="default"/>
      </w:rPr>
    </w:lvl>
    <w:lvl w:ilvl="4" w:tplc="CBE0CDF2">
      <w:start w:val="1"/>
      <w:numFmt w:val="bullet"/>
      <w:lvlText w:val="o"/>
      <w:lvlJc w:val="left"/>
      <w:pPr>
        <w:ind w:left="3600" w:hanging="360"/>
      </w:pPr>
      <w:rPr>
        <w:rFonts w:ascii="Courier New" w:hAnsi="Courier New" w:hint="default"/>
      </w:rPr>
    </w:lvl>
    <w:lvl w:ilvl="5" w:tplc="46B892FA">
      <w:start w:val="1"/>
      <w:numFmt w:val="bullet"/>
      <w:lvlText w:val=""/>
      <w:lvlJc w:val="left"/>
      <w:pPr>
        <w:ind w:left="4320" w:hanging="360"/>
      </w:pPr>
      <w:rPr>
        <w:rFonts w:ascii="Wingdings" w:hAnsi="Wingdings" w:hint="default"/>
      </w:rPr>
    </w:lvl>
    <w:lvl w:ilvl="6" w:tplc="152E004A">
      <w:start w:val="1"/>
      <w:numFmt w:val="bullet"/>
      <w:lvlText w:val=""/>
      <w:lvlJc w:val="left"/>
      <w:pPr>
        <w:ind w:left="5040" w:hanging="360"/>
      </w:pPr>
      <w:rPr>
        <w:rFonts w:ascii="Symbol" w:hAnsi="Symbol" w:hint="default"/>
      </w:rPr>
    </w:lvl>
    <w:lvl w:ilvl="7" w:tplc="81D4475C">
      <w:start w:val="1"/>
      <w:numFmt w:val="bullet"/>
      <w:lvlText w:val="o"/>
      <w:lvlJc w:val="left"/>
      <w:pPr>
        <w:ind w:left="5760" w:hanging="360"/>
      </w:pPr>
      <w:rPr>
        <w:rFonts w:ascii="Courier New" w:hAnsi="Courier New" w:hint="default"/>
      </w:rPr>
    </w:lvl>
    <w:lvl w:ilvl="8" w:tplc="158E513A">
      <w:start w:val="1"/>
      <w:numFmt w:val="bullet"/>
      <w:lvlText w:val=""/>
      <w:lvlJc w:val="left"/>
      <w:pPr>
        <w:ind w:left="6480" w:hanging="360"/>
      </w:pPr>
      <w:rPr>
        <w:rFonts w:ascii="Wingdings" w:hAnsi="Wingdings" w:hint="default"/>
      </w:rPr>
    </w:lvl>
  </w:abstractNum>
  <w:abstractNum w:abstractNumId="8" w15:restartNumberingAfterBreak="0">
    <w:nsid w:val="72876A32"/>
    <w:multiLevelType w:val="hybridMultilevel"/>
    <w:tmpl w:val="B18A8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D9A57CB"/>
    <w:multiLevelType w:val="hybridMultilevel"/>
    <w:tmpl w:val="A6FA4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3"/>
  </w:num>
  <w:num w:numId="4">
    <w:abstractNumId w:val="8"/>
  </w:num>
  <w:num w:numId="5">
    <w:abstractNumId w:val="5"/>
  </w:num>
  <w:num w:numId="6">
    <w:abstractNumId w:val="9"/>
  </w:num>
  <w:num w:numId="7">
    <w:abstractNumId w:val="4"/>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DBB"/>
    <w:rsid w:val="0000361C"/>
    <w:rsid w:val="000053B3"/>
    <w:rsid w:val="00006FB9"/>
    <w:rsid w:val="00011997"/>
    <w:rsid w:val="000141C2"/>
    <w:rsid w:val="00014BA0"/>
    <w:rsid w:val="000220E1"/>
    <w:rsid w:val="00027100"/>
    <w:rsid w:val="00036BC7"/>
    <w:rsid w:val="00041069"/>
    <w:rsid w:val="00042F88"/>
    <w:rsid w:val="00046F51"/>
    <w:rsid w:val="00051599"/>
    <w:rsid w:val="000573CE"/>
    <w:rsid w:val="00061857"/>
    <w:rsid w:val="00077225"/>
    <w:rsid w:val="0009074F"/>
    <w:rsid w:val="000935D4"/>
    <w:rsid w:val="000A4C99"/>
    <w:rsid w:val="000B6CD9"/>
    <w:rsid w:val="000B79D4"/>
    <w:rsid w:val="000C035C"/>
    <w:rsid w:val="000D012E"/>
    <w:rsid w:val="000D6125"/>
    <w:rsid w:val="000E049E"/>
    <w:rsid w:val="000E11C2"/>
    <w:rsid w:val="000E51E2"/>
    <w:rsid w:val="000F30E4"/>
    <w:rsid w:val="00112CA4"/>
    <w:rsid w:val="0011702E"/>
    <w:rsid w:val="00120674"/>
    <w:rsid w:val="00122B4D"/>
    <w:rsid w:val="00130909"/>
    <w:rsid w:val="0013702A"/>
    <w:rsid w:val="0014259C"/>
    <w:rsid w:val="0015347B"/>
    <w:rsid w:val="00153BE3"/>
    <w:rsid w:val="00161963"/>
    <w:rsid w:val="0016470B"/>
    <w:rsid w:val="00177E65"/>
    <w:rsid w:val="00183EEE"/>
    <w:rsid w:val="001847A8"/>
    <w:rsid w:val="00193B6B"/>
    <w:rsid w:val="001A00B3"/>
    <w:rsid w:val="001A365A"/>
    <w:rsid w:val="001B2BCA"/>
    <w:rsid w:val="001B2FAB"/>
    <w:rsid w:val="001B31A6"/>
    <w:rsid w:val="001B4515"/>
    <w:rsid w:val="001C3F51"/>
    <w:rsid w:val="001E0B1A"/>
    <w:rsid w:val="001F0907"/>
    <w:rsid w:val="001F3282"/>
    <w:rsid w:val="001F733C"/>
    <w:rsid w:val="00203118"/>
    <w:rsid w:val="00204950"/>
    <w:rsid w:val="00205EFB"/>
    <w:rsid w:val="00207C9D"/>
    <w:rsid w:val="00222E09"/>
    <w:rsid w:val="002241E9"/>
    <w:rsid w:val="00235100"/>
    <w:rsid w:val="00244A51"/>
    <w:rsid w:val="00244C76"/>
    <w:rsid w:val="0026460E"/>
    <w:rsid w:val="00267EF9"/>
    <w:rsid w:val="00270D33"/>
    <w:rsid w:val="00272AE4"/>
    <w:rsid w:val="002744BF"/>
    <w:rsid w:val="00276135"/>
    <w:rsid w:val="002816D4"/>
    <w:rsid w:val="00283752"/>
    <w:rsid w:val="00283A92"/>
    <w:rsid w:val="0029560A"/>
    <w:rsid w:val="002A1A2E"/>
    <w:rsid w:val="002A4E98"/>
    <w:rsid w:val="002B0320"/>
    <w:rsid w:val="002B35A1"/>
    <w:rsid w:val="002B688D"/>
    <w:rsid w:val="002C1F7E"/>
    <w:rsid w:val="002D0C34"/>
    <w:rsid w:val="002D1C56"/>
    <w:rsid w:val="002F05A1"/>
    <w:rsid w:val="002F5EA3"/>
    <w:rsid w:val="0030641D"/>
    <w:rsid w:val="00327A8B"/>
    <w:rsid w:val="00332046"/>
    <w:rsid w:val="00333DBB"/>
    <w:rsid w:val="003375EB"/>
    <w:rsid w:val="0033780A"/>
    <w:rsid w:val="00351980"/>
    <w:rsid w:val="00354198"/>
    <w:rsid w:val="00360B15"/>
    <w:rsid w:val="003618E1"/>
    <w:rsid w:val="00361D06"/>
    <w:rsid w:val="0036656F"/>
    <w:rsid w:val="00374FAC"/>
    <w:rsid w:val="00381FF4"/>
    <w:rsid w:val="00384330"/>
    <w:rsid w:val="0038552F"/>
    <w:rsid w:val="003923EA"/>
    <w:rsid w:val="00394F77"/>
    <w:rsid w:val="00395F67"/>
    <w:rsid w:val="003A411E"/>
    <w:rsid w:val="003A5968"/>
    <w:rsid w:val="003A5CEE"/>
    <w:rsid w:val="003B3F8B"/>
    <w:rsid w:val="003B54F9"/>
    <w:rsid w:val="003B79E8"/>
    <w:rsid w:val="003C129E"/>
    <w:rsid w:val="003C1BE7"/>
    <w:rsid w:val="003C2650"/>
    <w:rsid w:val="003D3885"/>
    <w:rsid w:val="003E1138"/>
    <w:rsid w:val="003E6026"/>
    <w:rsid w:val="003E7B45"/>
    <w:rsid w:val="003F50F3"/>
    <w:rsid w:val="00400E16"/>
    <w:rsid w:val="00405AF2"/>
    <w:rsid w:val="00406988"/>
    <w:rsid w:val="00410ED4"/>
    <w:rsid w:val="00411265"/>
    <w:rsid w:val="00411E95"/>
    <w:rsid w:val="0041637B"/>
    <w:rsid w:val="00420A07"/>
    <w:rsid w:val="0042259C"/>
    <w:rsid w:val="004225CF"/>
    <w:rsid w:val="00423698"/>
    <w:rsid w:val="00424112"/>
    <w:rsid w:val="0042677A"/>
    <w:rsid w:val="00431D53"/>
    <w:rsid w:val="00453A15"/>
    <w:rsid w:val="00454691"/>
    <w:rsid w:val="00460807"/>
    <w:rsid w:val="004610B7"/>
    <w:rsid w:val="00461190"/>
    <w:rsid w:val="00462DAE"/>
    <w:rsid w:val="004658B2"/>
    <w:rsid w:val="0046699B"/>
    <w:rsid w:val="00466FC7"/>
    <w:rsid w:val="00471489"/>
    <w:rsid w:val="00471E79"/>
    <w:rsid w:val="0047511F"/>
    <w:rsid w:val="00481F8E"/>
    <w:rsid w:val="00486880"/>
    <w:rsid w:val="00490D7C"/>
    <w:rsid w:val="004968D3"/>
    <w:rsid w:val="004A2599"/>
    <w:rsid w:val="004A4B89"/>
    <w:rsid w:val="004B72B6"/>
    <w:rsid w:val="004B7BF2"/>
    <w:rsid w:val="004D326C"/>
    <w:rsid w:val="004D3424"/>
    <w:rsid w:val="004D5387"/>
    <w:rsid w:val="004E35E0"/>
    <w:rsid w:val="004E78DD"/>
    <w:rsid w:val="004F27DC"/>
    <w:rsid w:val="004F7719"/>
    <w:rsid w:val="00501EF0"/>
    <w:rsid w:val="00502C6C"/>
    <w:rsid w:val="00502FE9"/>
    <w:rsid w:val="00521BA2"/>
    <w:rsid w:val="00522D4F"/>
    <w:rsid w:val="00525D6A"/>
    <w:rsid w:val="00527948"/>
    <w:rsid w:val="00527A65"/>
    <w:rsid w:val="00527B1C"/>
    <w:rsid w:val="005356C2"/>
    <w:rsid w:val="005358E6"/>
    <w:rsid w:val="00536418"/>
    <w:rsid w:val="0054259D"/>
    <w:rsid w:val="00545D6C"/>
    <w:rsid w:val="005462A0"/>
    <w:rsid w:val="0055131E"/>
    <w:rsid w:val="005574A9"/>
    <w:rsid w:val="0056057D"/>
    <w:rsid w:val="00562593"/>
    <w:rsid w:val="00565309"/>
    <w:rsid w:val="005675B1"/>
    <w:rsid w:val="00567DFA"/>
    <w:rsid w:val="005740B9"/>
    <w:rsid w:val="00586943"/>
    <w:rsid w:val="00590A75"/>
    <w:rsid w:val="00593571"/>
    <w:rsid w:val="00594660"/>
    <w:rsid w:val="00596381"/>
    <w:rsid w:val="005978C7"/>
    <w:rsid w:val="00597CC6"/>
    <w:rsid w:val="005A2571"/>
    <w:rsid w:val="005A2F87"/>
    <w:rsid w:val="005B4C5E"/>
    <w:rsid w:val="005C2C2D"/>
    <w:rsid w:val="005C4FAE"/>
    <w:rsid w:val="005D0F0E"/>
    <w:rsid w:val="005D54C2"/>
    <w:rsid w:val="005D5651"/>
    <w:rsid w:val="005D6212"/>
    <w:rsid w:val="005D6650"/>
    <w:rsid w:val="005D7E86"/>
    <w:rsid w:val="005E058B"/>
    <w:rsid w:val="005E0C32"/>
    <w:rsid w:val="005E4397"/>
    <w:rsid w:val="005E7EF2"/>
    <w:rsid w:val="005F3FCD"/>
    <w:rsid w:val="005F505E"/>
    <w:rsid w:val="005F63FC"/>
    <w:rsid w:val="005F7430"/>
    <w:rsid w:val="00607677"/>
    <w:rsid w:val="00610071"/>
    <w:rsid w:val="0061700E"/>
    <w:rsid w:val="0062103B"/>
    <w:rsid w:val="006244CC"/>
    <w:rsid w:val="006335C2"/>
    <w:rsid w:val="00635500"/>
    <w:rsid w:val="0063666B"/>
    <w:rsid w:val="00637747"/>
    <w:rsid w:val="00643041"/>
    <w:rsid w:val="00644AC7"/>
    <w:rsid w:val="00646DC4"/>
    <w:rsid w:val="00647608"/>
    <w:rsid w:val="00647E1D"/>
    <w:rsid w:val="006512CE"/>
    <w:rsid w:val="006600F2"/>
    <w:rsid w:val="006615EC"/>
    <w:rsid w:val="00663E21"/>
    <w:rsid w:val="00665697"/>
    <w:rsid w:val="00670548"/>
    <w:rsid w:val="00670DC7"/>
    <w:rsid w:val="00673CC6"/>
    <w:rsid w:val="00686D54"/>
    <w:rsid w:val="006870F4"/>
    <w:rsid w:val="00687CA2"/>
    <w:rsid w:val="0069267A"/>
    <w:rsid w:val="006938C8"/>
    <w:rsid w:val="00694161"/>
    <w:rsid w:val="006A03A4"/>
    <w:rsid w:val="006A3A08"/>
    <w:rsid w:val="006A3AD7"/>
    <w:rsid w:val="006A3DD7"/>
    <w:rsid w:val="006B18F3"/>
    <w:rsid w:val="006B2A56"/>
    <w:rsid w:val="006B3C3E"/>
    <w:rsid w:val="006C0295"/>
    <w:rsid w:val="006C21B7"/>
    <w:rsid w:val="006C2F6A"/>
    <w:rsid w:val="006D5B2F"/>
    <w:rsid w:val="006E6448"/>
    <w:rsid w:val="006F04C6"/>
    <w:rsid w:val="00703703"/>
    <w:rsid w:val="00706075"/>
    <w:rsid w:val="00716EED"/>
    <w:rsid w:val="00717488"/>
    <w:rsid w:val="007241C6"/>
    <w:rsid w:val="00733EAD"/>
    <w:rsid w:val="007376CF"/>
    <w:rsid w:val="00747F21"/>
    <w:rsid w:val="00750B23"/>
    <w:rsid w:val="00753D8E"/>
    <w:rsid w:val="00754D8D"/>
    <w:rsid w:val="00773FB4"/>
    <w:rsid w:val="00775B46"/>
    <w:rsid w:val="00777FC6"/>
    <w:rsid w:val="00792A58"/>
    <w:rsid w:val="00794EAC"/>
    <w:rsid w:val="00796C0E"/>
    <w:rsid w:val="007B4842"/>
    <w:rsid w:val="007B6190"/>
    <w:rsid w:val="007B65BB"/>
    <w:rsid w:val="007C07D4"/>
    <w:rsid w:val="007C3D31"/>
    <w:rsid w:val="007C5B13"/>
    <w:rsid w:val="007D4EF4"/>
    <w:rsid w:val="007E6A10"/>
    <w:rsid w:val="00800015"/>
    <w:rsid w:val="00801A23"/>
    <w:rsid w:val="0080351E"/>
    <w:rsid w:val="0080362D"/>
    <w:rsid w:val="008060DB"/>
    <w:rsid w:val="008071FB"/>
    <w:rsid w:val="00816177"/>
    <w:rsid w:val="008162AC"/>
    <w:rsid w:val="0083379E"/>
    <w:rsid w:val="00835447"/>
    <w:rsid w:val="00845785"/>
    <w:rsid w:val="00851102"/>
    <w:rsid w:val="00853DA0"/>
    <w:rsid w:val="008611D9"/>
    <w:rsid w:val="008628C0"/>
    <w:rsid w:val="0086546C"/>
    <w:rsid w:val="00867FA1"/>
    <w:rsid w:val="00870418"/>
    <w:rsid w:val="00870D41"/>
    <w:rsid w:val="00872C59"/>
    <w:rsid w:val="00877700"/>
    <w:rsid w:val="00881834"/>
    <w:rsid w:val="00890B24"/>
    <w:rsid w:val="00894456"/>
    <w:rsid w:val="00897FB1"/>
    <w:rsid w:val="008A10A3"/>
    <w:rsid w:val="008A2B21"/>
    <w:rsid w:val="008A569F"/>
    <w:rsid w:val="008B39BE"/>
    <w:rsid w:val="008B6212"/>
    <w:rsid w:val="008B650F"/>
    <w:rsid w:val="008B7190"/>
    <w:rsid w:val="008C0811"/>
    <w:rsid w:val="008C247D"/>
    <w:rsid w:val="008C36AC"/>
    <w:rsid w:val="008D2C8F"/>
    <w:rsid w:val="008D5EF6"/>
    <w:rsid w:val="008E00E4"/>
    <w:rsid w:val="008E0287"/>
    <w:rsid w:val="008E2D8E"/>
    <w:rsid w:val="008E3DD3"/>
    <w:rsid w:val="008E52CD"/>
    <w:rsid w:val="008E7DB3"/>
    <w:rsid w:val="008F01D2"/>
    <w:rsid w:val="00902BB7"/>
    <w:rsid w:val="0090709D"/>
    <w:rsid w:val="0090739B"/>
    <w:rsid w:val="00907CC0"/>
    <w:rsid w:val="009140CA"/>
    <w:rsid w:val="009257C4"/>
    <w:rsid w:val="009279DB"/>
    <w:rsid w:val="0093515D"/>
    <w:rsid w:val="00942EC1"/>
    <w:rsid w:val="009473D0"/>
    <w:rsid w:val="009512D6"/>
    <w:rsid w:val="00955470"/>
    <w:rsid w:val="00955A54"/>
    <w:rsid w:val="00961536"/>
    <w:rsid w:val="00967B84"/>
    <w:rsid w:val="0097581F"/>
    <w:rsid w:val="0098794F"/>
    <w:rsid w:val="00995B86"/>
    <w:rsid w:val="009A4EE8"/>
    <w:rsid w:val="009A4F7B"/>
    <w:rsid w:val="009B0559"/>
    <w:rsid w:val="009B5BFC"/>
    <w:rsid w:val="009B7086"/>
    <w:rsid w:val="009C17B9"/>
    <w:rsid w:val="009C60F6"/>
    <w:rsid w:val="009C6461"/>
    <w:rsid w:val="009D00CB"/>
    <w:rsid w:val="009E06EC"/>
    <w:rsid w:val="009E1A29"/>
    <w:rsid w:val="009F393C"/>
    <w:rsid w:val="009F3DDF"/>
    <w:rsid w:val="009F5CB5"/>
    <w:rsid w:val="00A0122A"/>
    <w:rsid w:val="00A10627"/>
    <w:rsid w:val="00A1129D"/>
    <w:rsid w:val="00A14E53"/>
    <w:rsid w:val="00A17919"/>
    <w:rsid w:val="00A217F0"/>
    <w:rsid w:val="00A310BF"/>
    <w:rsid w:val="00A32A5A"/>
    <w:rsid w:val="00A36580"/>
    <w:rsid w:val="00A4596E"/>
    <w:rsid w:val="00A552AA"/>
    <w:rsid w:val="00A566A8"/>
    <w:rsid w:val="00A60A1F"/>
    <w:rsid w:val="00A6517B"/>
    <w:rsid w:val="00A73397"/>
    <w:rsid w:val="00A82B5B"/>
    <w:rsid w:val="00A8708D"/>
    <w:rsid w:val="00A9236B"/>
    <w:rsid w:val="00A92F49"/>
    <w:rsid w:val="00A96334"/>
    <w:rsid w:val="00AB0A01"/>
    <w:rsid w:val="00AB640C"/>
    <w:rsid w:val="00AC1FF4"/>
    <w:rsid w:val="00AD4B33"/>
    <w:rsid w:val="00AD75BE"/>
    <w:rsid w:val="00AE07F3"/>
    <w:rsid w:val="00AE09ED"/>
    <w:rsid w:val="00AE6362"/>
    <w:rsid w:val="00AF6161"/>
    <w:rsid w:val="00B00644"/>
    <w:rsid w:val="00B00F12"/>
    <w:rsid w:val="00B06A95"/>
    <w:rsid w:val="00B1636E"/>
    <w:rsid w:val="00B1684D"/>
    <w:rsid w:val="00B2235B"/>
    <w:rsid w:val="00B23EF2"/>
    <w:rsid w:val="00B32BAD"/>
    <w:rsid w:val="00B33E95"/>
    <w:rsid w:val="00B412DF"/>
    <w:rsid w:val="00B44997"/>
    <w:rsid w:val="00B55618"/>
    <w:rsid w:val="00B63E3E"/>
    <w:rsid w:val="00B657CD"/>
    <w:rsid w:val="00B66864"/>
    <w:rsid w:val="00B67955"/>
    <w:rsid w:val="00B7234E"/>
    <w:rsid w:val="00B72C26"/>
    <w:rsid w:val="00B843F0"/>
    <w:rsid w:val="00B8725A"/>
    <w:rsid w:val="00B87B8F"/>
    <w:rsid w:val="00B92F90"/>
    <w:rsid w:val="00B94071"/>
    <w:rsid w:val="00B96020"/>
    <w:rsid w:val="00BA19E9"/>
    <w:rsid w:val="00BA5113"/>
    <w:rsid w:val="00BA539C"/>
    <w:rsid w:val="00BA5769"/>
    <w:rsid w:val="00BA66CB"/>
    <w:rsid w:val="00BA6DED"/>
    <w:rsid w:val="00BB0C8E"/>
    <w:rsid w:val="00BB18EA"/>
    <w:rsid w:val="00BB2BB1"/>
    <w:rsid w:val="00BC04D0"/>
    <w:rsid w:val="00BD4BA4"/>
    <w:rsid w:val="00BD55EE"/>
    <w:rsid w:val="00BD758B"/>
    <w:rsid w:val="00BE238E"/>
    <w:rsid w:val="00BE3883"/>
    <w:rsid w:val="00BE6F15"/>
    <w:rsid w:val="00BF0661"/>
    <w:rsid w:val="00BF7D2B"/>
    <w:rsid w:val="00C00244"/>
    <w:rsid w:val="00C0258B"/>
    <w:rsid w:val="00C258E2"/>
    <w:rsid w:val="00C315BA"/>
    <w:rsid w:val="00C422BC"/>
    <w:rsid w:val="00C43E7E"/>
    <w:rsid w:val="00C5154E"/>
    <w:rsid w:val="00C52B34"/>
    <w:rsid w:val="00C53798"/>
    <w:rsid w:val="00C549F1"/>
    <w:rsid w:val="00C5733D"/>
    <w:rsid w:val="00C666BC"/>
    <w:rsid w:val="00C747BA"/>
    <w:rsid w:val="00C772C8"/>
    <w:rsid w:val="00C9389B"/>
    <w:rsid w:val="00C96414"/>
    <w:rsid w:val="00C96496"/>
    <w:rsid w:val="00CC5ADB"/>
    <w:rsid w:val="00CD695D"/>
    <w:rsid w:val="00CE16B6"/>
    <w:rsid w:val="00CE3E70"/>
    <w:rsid w:val="00CE5762"/>
    <w:rsid w:val="00CE79D9"/>
    <w:rsid w:val="00CF427E"/>
    <w:rsid w:val="00D01C3C"/>
    <w:rsid w:val="00D05366"/>
    <w:rsid w:val="00D07507"/>
    <w:rsid w:val="00D1441C"/>
    <w:rsid w:val="00D1483D"/>
    <w:rsid w:val="00D310CE"/>
    <w:rsid w:val="00D3434A"/>
    <w:rsid w:val="00D4314D"/>
    <w:rsid w:val="00D46FE7"/>
    <w:rsid w:val="00D530AD"/>
    <w:rsid w:val="00D5461F"/>
    <w:rsid w:val="00D55026"/>
    <w:rsid w:val="00D56185"/>
    <w:rsid w:val="00D56713"/>
    <w:rsid w:val="00D700AC"/>
    <w:rsid w:val="00D701AD"/>
    <w:rsid w:val="00D744AA"/>
    <w:rsid w:val="00D81F6E"/>
    <w:rsid w:val="00D8484D"/>
    <w:rsid w:val="00DA3F98"/>
    <w:rsid w:val="00DB0BBD"/>
    <w:rsid w:val="00DB2130"/>
    <w:rsid w:val="00DB2FDD"/>
    <w:rsid w:val="00DC06E0"/>
    <w:rsid w:val="00DC17D6"/>
    <w:rsid w:val="00DC5F55"/>
    <w:rsid w:val="00DC63D2"/>
    <w:rsid w:val="00DE16E2"/>
    <w:rsid w:val="00DE3FB7"/>
    <w:rsid w:val="00DE6263"/>
    <w:rsid w:val="00DE7A06"/>
    <w:rsid w:val="00DF08B3"/>
    <w:rsid w:val="00DF381A"/>
    <w:rsid w:val="00DF5A3A"/>
    <w:rsid w:val="00DF5DA3"/>
    <w:rsid w:val="00DF6D68"/>
    <w:rsid w:val="00E00544"/>
    <w:rsid w:val="00E066A0"/>
    <w:rsid w:val="00E14095"/>
    <w:rsid w:val="00E156D3"/>
    <w:rsid w:val="00E23072"/>
    <w:rsid w:val="00E23824"/>
    <w:rsid w:val="00E238FF"/>
    <w:rsid w:val="00E24474"/>
    <w:rsid w:val="00E25CCC"/>
    <w:rsid w:val="00E5310B"/>
    <w:rsid w:val="00E57542"/>
    <w:rsid w:val="00E70513"/>
    <w:rsid w:val="00E71D8D"/>
    <w:rsid w:val="00E73432"/>
    <w:rsid w:val="00E7362D"/>
    <w:rsid w:val="00E7463E"/>
    <w:rsid w:val="00E80A90"/>
    <w:rsid w:val="00E86410"/>
    <w:rsid w:val="00E879FF"/>
    <w:rsid w:val="00E9067A"/>
    <w:rsid w:val="00E92AEF"/>
    <w:rsid w:val="00EA08AD"/>
    <w:rsid w:val="00EA0CD4"/>
    <w:rsid w:val="00EB47DB"/>
    <w:rsid w:val="00EB4B6A"/>
    <w:rsid w:val="00EB4F06"/>
    <w:rsid w:val="00EB6A9B"/>
    <w:rsid w:val="00EC3787"/>
    <w:rsid w:val="00EC4BFF"/>
    <w:rsid w:val="00ED0FBF"/>
    <w:rsid w:val="00ED1781"/>
    <w:rsid w:val="00ED5BDE"/>
    <w:rsid w:val="00ED70BC"/>
    <w:rsid w:val="00EE0A38"/>
    <w:rsid w:val="00EE4CD2"/>
    <w:rsid w:val="00EF50E8"/>
    <w:rsid w:val="00EF73E7"/>
    <w:rsid w:val="00F078FA"/>
    <w:rsid w:val="00F14CF8"/>
    <w:rsid w:val="00F14F00"/>
    <w:rsid w:val="00F1538E"/>
    <w:rsid w:val="00F1791C"/>
    <w:rsid w:val="00F20468"/>
    <w:rsid w:val="00F207A7"/>
    <w:rsid w:val="00F21F7A"/>
    <w:rsid w:val="00F25F15"/>
    <w:rsid w:val="00F32AB1"/>
    <w:rsid w:val="00F340C3"/>
    <w:rsid w:val="00F4181B"/>
    <w:rsid w:val="00F43755"/>
    <w:rsid w:val="00F5197A"/>
    <w:rsid w:val="00F61A92"/>
    <w:rsid w:val="00F61BD5"/>
    <w:rsid w:val="00F61C5D"/>
    <w:rsid w:val="00F64131"/>
    <w:rsid w:val="00F712F4"/>
    <w:rsid w:val="00F76C68"/>
    <w:rsid w:val="00F77E35"/>
    <w:rsid w:val="00F8632C"/>
    <w:rsid w:val="00F93F09"/>
    <w:rsid w:val="00F94DB2"/>
    <w:rsid w:val="00FA4329"/>
    <w:rsid w:val="00FA4D46"/>
    <w:rsid w:val="00FA7B14"/>
    <w:rsid w:val="00FA7B30"/>
    <w:rsid w:val="00FB4A2A"/>
    <w:rsid w:val="00FC4AA4"/>
    <w:rsid w:val="00FC4F8C"/>
    <w:rsid w:val="00FC5CDC"/>
    <w:rsid w:val="00FD0734"/>
    <w:rsid w:val="00FD2F97"/>
    <w:rsid w:val="00FD4D15"/>
    <w:rsid w:val="00FE0DEB"/>
    <w:rsid w:val="00FE1187"/>
    <w:rsid w:val="00FF16AF"/>
    <w:rsid w:val="00FF401C"/>
    <w:rsid w:val="0214A366"/>
    <w:rsid w:val="024A357D"/>
    <w:rsid w:val="02D92AA4"/>
    <w:rsid w:val="056422EB"/>
    <w:rsid w:val="07454256"/>
    <w:rsid w:val="0A3EDE89"/>
    <w:rsid w:val="0ECBAFDA"/>
    <w:rsid w:val="0ECD7547"/>
    <w:rsid w:val="0FB30613"/>
    <w:rsid w:val="125206BB"/>
    <w:rsid w:val="141F7BCC"/>
    <w:rsid w:val="154847F1"/>
    <w:rsid w:val="15D493A0"/>
    <w:rsid w:val="16E3D00A"/>
    <w:rsid w:val="187C0791"/>
    <w:rsid w:val="19285750"/>
    <w:rsid w:val="1936B4EE"/>
    <w:rsid w:val="1A9DAD34"/>
    <w:rsid w:val="1F188CD9"/>
    <w:rsid w:val="1F6C3B75"/>
    <w:rsid w:val="1F711E57"/>
    <w:rsid w:val="21D56920"/>
    <w:rsid w:val="274ADAC4"/>
    <w:rsid w:val="2A2F92AA"/>
    <w:rsid w:val="2B2C9856"/>
    <w:rsid w:val="2BCB9B4E"/>
    <w:rsid w:val="2CF1BA80"/>
    <w:rsid w:val="2D83DB6E"/>
    <w:rsid w:val="2EB71C72"/>
    <w:rsid w:val="314389AF"/>
    <w:rsid w:val="31AB5EF4"/>
    <w:rsid w:val="326CEC2F"/>
    <w:rsid w:val="3350D298"/>
    <w:rsid w:val="346887F6"/>
    <w:rsid w:val="34B020D7"/>
    <w:rsid w:val="37B3AA3A"/>
    <w:rsid w:val="3A3311B4"/>
    <w:rsid w:val="3ADF346E"/>
    <w:rsid w:val="3B42BC20"/>
    <w:rsid w:val="3B5B37D6"/>
    <w:rsid w:val="3BF94D6D"/>
    <w:rsid w:val="3C01EFF5"/>
    <w:rsid w:val="3C04886A"/>
    <w:rsid w:val="3C5B6FA9"/>
    <w:rsid w:val="3C9B2F8C"/>
    <w:rsid w:val="3F58AA8D"/>
    <w:rsid w:val="405ED824"/>
    <w:rsid w:val="4087DA92"/>
    <w:rsid w:val="40CF69F7"/>
    <w:rsid w:val="414DB835"/>
    <w:rsid w:val="421C113C"/>
    <w:rsid w:val="42E85AA1"/>
    <w:rsid w:val="457E2626"/>
    <w:rsid w:val="474204A3"/>
    <w:rsid w:val="4906083F"/>
    <w:rsid w:val="49F6A773"/>
    <w:rsid w:val="4A6C7305"/>
    <w:rsid w:val="4C0F713B"/>
    <w:rsid w:val="4DB9D599"/>
    <w:rsid w:val="4E986E32"/>
    <w:rsid w:val="4FF9AA71"/>
    <w:rsid w:val="516C8742"/>
    <w:rsid w:val="51FE61AB"/>
    <w:rsid w:val="52C3D1E7"/>
    <w:rsid w:val="5352B6F8"/>
    <w:rsid w:val="53B1D16A"/>
    <w:rsid w:val="545FA248"/>
    <w:rsid w:val="54EE8759"/>
    <w:rsid w:val="56D9502E"/>
    <w:rsid w:val="57D37B58"/>
    <w:rsid w:val="59F04B33"/>
    <w:rsid w:val="5DBB27B1"/>
    <w:rsid w:val="60A6AEE5"/>
    <w:rsid w:val="6283370B"/>
    <w:rsid w:val="629911FC"/>
    <w:rsid w:val="645C9DB5"/>
    <w:rsid w:val="64C8D6BA"/>
    <w:rsid w:val="65639DA9"/>
    <w:rsid w:val="67F611B5"/>
    <w:rsid w:val="6B148A1A"/>
    <w:rsid w:val="6C464733"/>
    <w:rsid w:val="6CDB4A0E"/>
    <w:rsid w:val="6D17AA8E"/>
    <w:rsid w:val="6EB38587"/>
    <w:rsid w:val="6ED6D016"/>
    <w:rsid w:val="6F16F615"/>
    <w:rsid w:val="6F9F505C"/>
    <w:rsid w:val="70588D10"/>
    <w:rsid w:val="723B7CD3"/>
    <w:rsid w:val="725D3667"/>
    <w:rsid w:val="730A5754"/>
    <w:rsid w:val="737F950B"/>
    <w:rsid w:val="747957DC"/>
    <w:rsid w:val="7492C41D"/>
    <w:rsid w:val="778E0DF3"/>
    <w:rsid w:val="77C1B7AA"/>
    <w:rsid w:val="77C8A7A1"/>
    <w:rsid w:val="79C72FE2"/>
    <w:rsid w:val="7A380C7C"/>
    <w:rsid w:val="7A636742"/>
    <w:rsid w:val="7ABC3E9E"/>
    <w:rsid w:val="7D1AD7B1"/>
    <w:rsid w:val="7D7B9AA0"/>
    <w:rsid w:val="7D97950E"/>
    <w:rsid w:val="7DBA4138"/>
    <w:rsid w:val="7E7D357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F877A5"/>
  <w15:chartTrackingRefBased/>
  <w15:docId w15:val="{C80ADC8C-7B98-45FF-981C-810B60A79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E6F1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BA66C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33DBB"/>
    <w:rPr>
      <w:color w:val="0563C1" w:themeColor="hyperlink"/>
      <w:u w:val="single"/>
    </w:rPr>
  </w:style>
  <w:style w:type="character" w:customStyle="1" w:styleId="Heading1Char">
    <w:name w:val="Heading 1 Char"/>
    <w:basedOn w:val="DefaultParagraphFont"/>
    <w:link w:val="Heading1"/>
    <w:uiPriority w:val="9"/>
    <w:rsid w:val="00BE6F15"/>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BE6F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6F15"/>
  </w:style>
  <w:style w:type="paragraph" w:styleId="Footer">
    <w:name w:val="footer"/>
    <w:basedOn w:val="Normal"/>
    <w:link w:val="FooterChar"/>
    <w:uiPriority w:val="99"/>
    <w:unhideWhenUsed/>
    <w:rsid w:val="00BE6F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6F15"/>
  </w:style>
  <w:style w:type="character" w:styleId="UnresolvedMention">
    <w:name w:val="Unresolved Mention"/>
    <w:basedOn w:val="DefaultParagraphFont"/>
    <w:uiPriority w:val="99"/>
    <w:unhideWhenUsed/>
    <w:rsid w:val="00DF6D68"/>
    <w:rPr>
      <w:color w:val="605E5C"/>
      <w:shd w:val="clear" w:color="auto" w:fill="E1DFDD"/>
    </w:rPr>
  </w:style>
  <w:style w:type="paragraph" w:styleId="NormalWeb">
    <w:name w:val="Normal (Web)"/>
    <w:basedOn w:val="Normal"/>
    <w:uiPriority w:val="99"/>
    <w:unhideWhenUsed/>
    <w:rsid w:val="00DF6D6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rkid0nbh70r">
    <w:name w:val="markid0nbh70r"/>
    <w:basedOn w:val="DefaultParagraphFont"/>
    <w:rsid w:val="00183EEE"/>
  </w:style>
  <w:style w:type="character" w:customStyle="1" w:styleId="markvk4jzmnpz">
    <w:name w:val="markvk4jzmnpz"/>
    <w:basedOn w:val="DefaultParagraphFont"/>
    <w:rsid w:val="00183EEE"/>
  </w:style>
  <w:style w:type="character" w:customStyle="1" w:styleId="xxmarkh6zdeqz73">
    <w:name w:val="x_x_markh6zdeqz73"/>
    <w:basedOn w:val="DefaultParagraphFont"/>
    <w:rsid w:val="00183EEE"/>
  </w:style>
  <w:style w:type="character" w:customStyle="1" w:styleId="markrqe9sup9c">
    <w:name w:val="markrqe9sup9c"/>
    <w:basedOn w:val="DefaultParagraphFont"/>
    <w:rsid w:val="00967B84"/>
  </w:style>
  <w:style w:type="paragraph" w:styleId="ListParagraph">
    <w:name w:val="List Paragraph"/>
    <w:basedOn w:val="Normal"/>
    <w:uiPriority w:val="34"/>
    <w:qFormat/>
    <w:pPr>
      <w:ind w:left="720"/>
      <w:contextualSpacing/>
    </w:p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FollowedHyperlink">
    <w:name w:val="FollowedHyperlink"/>
    <w:basedOn w:val="DefaultParagraphFont"/>
    <w:uiPriority w:val="99"/>
    <w:semiHidden/>
    <w:unhideWhenUsed/>
    <w:rsid w:val="00C422BC"/>
    <w:rPr>
      <w:color w:val="954F72" w:themeColor="followedHyperlink"/>
      <w:u w:val="single"/>
    </w:rPr>
  </w:style>
  <w:style w:type="character" w:customStyle="1" w:styleId="marklew5oe3sb">
    <w:name w:val="marklew5oe3sb"/>
    <w:basedOn w:val="DefaultParagraphFont"/>
    <w:rsid w:val="006B2A56"/>
  </w:style>
  <w:style w:type="character" w:customStyle="1" w:styleId="Heading2Char">
    <w:name w:val="Heading 2 Char"/>
    <w:basedOn w:val="DefaultParagraphFont"/>
    <w:link w:val="Heading2"/>
    <w:uiPriority w:val="9"/>
    <w:semiHidden/>
    <w:rsid w:val="00BA66CB"/>
    <w:rPr>
      <w:rFonts w:asciiTheme="majorHAnsi" w:eastAsiaTheme="majorEastAsia" w:hAnsiTheme="majorHAnsi" w:cstheme="majorBidi"/>
      <w:color w:val="2F5496" w:themeColor="accent1" w:themeShade="BF"/>
      <w:sz w:val="26"/>
      <w:szCs w:val="26"/>
    </w:rPr>
  </w:style>
  <w:style w:type="character" w:styleId="Strong">
    <w:name w:val="Strong"/>
    <w:basedOn w:val="DefaultParagraphFont"/>
    <w:uiPriority w:val="22"/>
    <w:qFormat/>
    <w:rsid w:val="00FA7B30"/>
    <w:rPr>
      <w:b/>
      <w:bCs/>
    </w:rPr>
  </w:style>
  <w:style w:type="paragraph" w:styleId="CommentSubject">
    <w:name w:val="annotation subject"/>
    <w:basedOn w:val="CommentText"/>
    <w:next w:val="CommentText"/>
    <w:link w:val="CommentSubjectChar"/>
    <w:uiPriority w:val="99"/>
    <w:semiHidden/>
    <w:unhideWhenUsed/>
    <w:rsid w:val="00374FAC"/>
    <w:rPr>
      <w:b/>
      <w:bCs/>
    </w:rPr>
  </w:style>
  <w:style w:type="character" w:customStyle="1" w:styleId="CommentSubjectChar">
    <w:name w:val="Comment Subject Char"/>
    <w:basedOn w:val="CommentTextChar"/>
    <w:link w:val="CommentSubject"/>
    <w:uiPriority w:val="99"/>
    <w:semiHidden/>
    <w:rsid w:val="00374FAC"/>
    <w:rPr>
      <w:b/>
      <w:bCs/>
      <w:sz w:val="20"/>
      <w:szCs w:val="20"/>
    </w:rPr>
  </w:style>
  <w:style w:type="paragraph" w:styleId="BalloonText">
    <w:name w:val="Balloon Text"/>
    <w:basedOn w:val="Normal"/>
    <w:link w:val="BalloonTextChar"/>
    <w:uiPriority w:val="99"/>
    <w:semiHidden/>
    <w:unhideWhenUsed/>
    <w:rsid w:val="00374F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4FAC"/>
    <w:rPr>
      <w:rFonts w:ascii="Segoe UI" w:hAnsi="Segoe UI" w:cs="Segoe UI"/>
      <w:sz w:val="18"/>
      <w:szCs w:val="18"/>
    </w:rPr>
  </w:style>
  <w:style w:type="paragraph" w:styleId="BodyTextIndent">
    <w:name w:val="Body Text Indent"/>
    <w:basedOn w:val="Normal"/>
    <w:link w:val="BodyTextIndentChar"/>
    <w:uiPriority w:val="99"/>
    <w:unhideWhenUsed/>
    <w:rsid w:val="00351980"/>
    <w:pPr>
      <w:ind w:left="720"/>
    </w:pPr>
    <w:rPr>
      <w:i/>
      <w:iCs/>
      <w:sz w:val="20"/>
      <w:szCs w:val="20"/>
    </w:rPr>
  </w:style>
  <w:style w:type="character" w:customStyle="1" w:styleId="BodyTextIndentChar">
    <w:name w:val="Body Text Indent Char"/>
    <w:basedOn w:val="DefaultParagraphFont"/>
    <w:link w:val="BodyTextIndent"/>
    <w:uiPriority w:val="99"/>
    <w:rsid w:val="00351980"/>
    <w:rPr>
      <w:i/>
      <w:iCs/>
      <w:sz w:val="20"/>
      <w:szCs w:val="20"/>
    </w:rPr>
  </w:style>
  <w:style w:type="paragraph" w:styleId="BodyTextIndent2">
    <w:name w:val="Body Text Indent 2"/>
    <w:basedOn w:val="Normal"/>
    <w:link w:val="BodyTextIndent2Char"/>
    <w:uiPriority w:val="99"/>
    <w:unhideWhenUsed/>
    <w:rsid w:val="00042F88"/>
    <w:pPr>
      <w:shd w:val="clear" w:color="auto" w:fill="FFFFFF"/>
      <w:ind w:left="720"/>
      <w:textAlignment w:val="baseline"/>
    </w:pPr>
    <w:rPr>
      <w:rFonts w:cstheme="minorHAnsi"/>
      <w:i/>
      <w:iCs/>
      <w:color w:val="000000"/>
      <w:sz w:val="20"/>
      <w:szCs w:val="20"/>
    </w:rPr>
  </w:style>
  <w:style w:type="character" w:customStyle="1" w:styleId="BodyTextIndent2Char">
    <w:name w:val="Body Text Indent 2 Char"/>
    <w:basedOn w:val="DefaultParagraphFont"/>
    <w:link w:val="BodyTextIndent2"/>
    <w:uiPriority w:val="99"/>
    <w:rsid w:val="00042F88"/>
    <w:rPr>
      <w:rFonts w:cstheme="minorHAnsi"/>
      <w:i/>
      <w:iCs/>
      <w:color w:val="000000"/>
      <w:sz w:val="20"/>
      <w:szCs w:val="20"/>
      <w:shd w:val="clear" w:color="auto" w:fill="FFFFFF"/>
    </w:rPr>
  </w:style>
  <w:style w:type="paragraph" w:styleId="FootnoteText">
    <w:name w:val="footnote text"/>
    <w:basedOn w:val="Normal"/>
    <w:link w:val="FootnoteTextChar"/>
    <w:uiPriority w:val="99"/>
    <w:semiHidden/>
    <w:unhideWhenUsed/>
    <w:rsid w:val="006A3AD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A3AD7"/>
    <w:rPr>
      <w:sz w:val="20"/>
      <w:szCs w:val="20"/>
    </w:rPr>
  </w:style>
  <w:style w:type="character" w:styleId="FootnoteReference">
    <w:name w:val="footnote reference"/>
    <w:basedOn w:val="DefaultParagraphFont"/>
    <w:uiPriority w:val="99"/>
    <w:semiHidden/>
    <w:unhideWhenUsed/>
    <w:rsid w:val="006A3AD7"/>
    <w:rPr>
      <w:vertAlign w:val="superscript"/>
    </w:rPr>
  </w:style>
  <w:style w:type="character" w:styleId="Mention">
    <w:name w:val="Mention"/>
    <w:basedOn w:val="DefaultParagraphFont"/>
    <w:uiPriority w:val="99"/>
    <w:unhideWhenUsed/>
    <w:rsid w:val="00BF0661"/>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116515">
      <w:bodyDiv w:val="1"/>
      <w:marLeft w:val="0"/>
      <w:marRight w:val="0"/>
      <w:marTop w:val="0"/>
      <w:marBottom w:val="0"/>
      <w:divBdr>
        <w:top w:val="none" w:sz="0" w:space="0" w:color="auto"/>
        <w:left w:val="none" w:sz="0" w:space="0" w:color="auto"/>
        <w:bottom w:val="none" w:sz="0" w:space="0" w:color="auto"/>
        <w:right w:val="none" w:sz="0" w:space="0" w:color="auto"/>
      </w:divBdr>
      <w:divsChild>
        <w:div w:id="129247112">
          <w:marLeft w:val="0"/>
          <w:marRight w:val="0"/>
          <w:marTop w:val="0"/>
          <w:marBottom w:val="0"/>
          <w:divBdr>
            <w:top w:val="none" w:sz="0" w:space="0" w:color="auto"/>
            <w:left w:val="none" w:sz="0" w:space="0" w:color="auto"/>
            <w:bottom w:val="none" w:sz="0" w:space="0" w:color="auto"/>
            <w:right w:val="none" w:sz="0" w:space="0" w:color="auto"/>
          </w:divBdr>
          <w:divsChild>
            <w:div w:id="1563834821">
              <w:marLeft w:val="0"/>
              <w:marRight w:val="0"/>
              <w:marTop w:val="0"/>
              <w:marBottom w:val="0"/>
              <w:divBdr>
                <w:top w:val="none" w:sz="0" w:space="0" w:color="auto"/>
                <w:left w:val="none" w:sz="0" w:space="0" w:color="auto"/>
                <w:bottom w:val="none" w:sz="0" w:space="0" w:color="auto"/>
                <w:right w:val="none" w:sz="0" w:space="0" w:color="auto"/>
              </w:divBdr>
            </w:div>
            <w:div w:id="1662658493">
              <w:marLeft w:val="0"/>
              <w:marRight w:val="0"/>
              <w:marTop w:val="0"/>
              <w:marBottom w:val="0"/>
              <w:divBdr>
                <w:top w:val="none" w:sz="0" w:space="0" w:color="auto"/>
                <w:left w:val="none" w:sz="0" w:space="0" w:color="auto"/>
                <w:bottom w:val="none" w:sz="0" w:space="0" w:color="auto"/>
                <w:right w:val="none" w:sz="0" w:space="0" w:color="auto"/>
              </w:divBdr>
            </w:div>
          </w:divsChild>
        </w:div>
        <w:div w:id="215354680">
          <w:blockQuote w:val="1"/>
          <w:marLeft w:val="720"/>
          <w:marRight w:val="720"/>
          <w:marTop w:val="0"/>
          <w:marBottom w:val="0"/>
          <w:divBdr>
            <w:top w:val="none" w:sz="0" w:space="0" w:color="auto"/>
            <w:left w:val="none" w:sz="0" w:space="0" w:color="auto"/>
            <w:bottom w:val="none" w:sz="0" w:space="0" w:color="auto"/>
            <w:right w:val="none" w:sz="0" w:space="0" w:color="auto"/>
          </w:divBdr>
          <w:divsChild>
            <w:div w:id="178130237">
              <w:marLeft w:val="0"/>
              <w:marRight w:val="0"/>
              <w:marTop w:val="0"/>
              <w:marBottom w:val="0"/>
              <w:divBdr>
                <w:top w:val="none" w:sz="0" w:space="0" w:color="auto"/>
                <w:left w:val="none" w:sz="0" w:space="0" w:color="auto"/>
                <w:bottom w:val="none" w:sz="0" w:space="0" w:color="auto"/>
                <w:right w:val="none" w:sz="0" w:space="0" w:color="auto"/>
              </w:divBdr>
            </w:div>
            <w:div w:id="273245758">
              <w:marLeft w:val="0"/>
              <w:marRight w:val="0"/>
              <w:marTop w:val="0"/>
              <w:marBottom w:val="0"/>
              <w:divBdr>
                <w:top w:val="none" w:sz="0" w:space="0" w:color="auto"/>
                <w:left w:val="none" w:sz="0" w:space="0" w:color="auto"/>
                <w:bottom w:val="none" w:sz="0" w:space="0" w:color="auto"/>
                <w:right w:val="none" w:sz="0" w:space="0" w:color="auto"/>
              </w:divBdr>
            </w:div>
            <w:div w:id="326054711">
              <w:marLeft w:val="0"/>
              <w:marRight w:val="0"/>
              <w:marTop w:val="0"/>
              <w:marBottom w:val="0"/>
              <w:divBdr>
                <w:top w:val="none" w:sz="0" w:space="0" w:color="auto"/>
                <w:left w:val="none" w:sz="0" w:space="0" w:color="auto"/>
                <w:bottom w:val="none" w:sz="0" w:space="0" w:color="auto"/>
                <w:right w:val="none" w:sz="0" w:space="0" w:color="auto"/>
              </w:divBdr>
            </w:div>
            <w:div w:id="884147601">
              <w:marLeft w:val="0"/>
              <w:marRight w:val="0"/>
              <w:marTop w:val="0"/>
              <w:marBottom w:val="0"/>
              <w:divBdr>
                <w:top w:val="none" w:sz="0" w:space="0" w:color="auto"/>
                <w:left w:val="none" w:sz="0" w:space="0" w:color="auto"/>
                <w:bottom w:val="none" w:sz="0" w:space="0" w:color="auto"/>
                <w:right w:val="none" w:sz="0" w:space="0" w:color="auto"/>
              </w:divBdr>
            </w:div>
            <w:div w:id="1389307086">
              <w:marLeft w:val="0"/>
              <w:marRight w:val="0"/>
              <w:marTop w:val="0"/>
              <w:marBottom w:val="0"/>
              <w:divBdr>
                <w:top w:val="none" w:sz="0" w:space="0" w:color="auto"/>
                <w:left w:val="none" w:sz="0" w:space="0" w:color="auto"/>
                <w:bottom w:val="none" w:sz="0" w:space="0" w:color="auto"/>
                <w:right w:val="none" w:sz="0" w:space="0" w:color="auto"/>
              </w:divBdr>
            </w:div>
            <w:div w:id="1872768164">
              <w:marLeft w:val="0"/>
              <w:marRight w:val="0"/>
              <w:marTop w:val="0"/>
              <w:marBottom w:val="0"/>
              <w:divBdr>
                <w:top w:val="none" w:sz="0" w:space="0" w:color="auto"/>
                <w:left w:val="none" w:sz="0" w:space="0" w:color="auto"/>
                <w:bottom w:val="none" w:sz="0" w:space="0" w:color="auto"/>
                <w:right w:val="none" w:sz="0" w:space="0" w:color="auto"/>
              </w:divBdr>
            </w:div>
          </w:divsChild>
        </w:div>
        <w:div w:id="468204241">
          <w:marLeft w:val="0"/>
          <w:marRight w:val="0"/>
          <w:marTop w:val="0"/>
          <w:marBottom w:val="0"/>
          <w:divBdr>
            <w:top w:val="none" w:sz="0" w:space="0" w:color="auto"/>
            <w:left w:val="none" w:sz="0" w:space="0" w:color="auto"/>
            <w:bottom w:val="none" w:sz="0" w:space="0" w:color="auto"/>
            <w:right w:val="none" w:sz="0" w:space="0" w:color="auto"/>
          </w:divBdr>
        </w:div>
        <w:div w:id="472530585">
          <w:marLeft w:val="0"/>
          <w:marRight w:val="0"/>
          <w:marTop w:val="0"/>
          <w:marBottom w:val="0"/>
          <w:divBdr>
            <w:top w:val="none" w:sz="0" w:space="0" w:color="auto"/>
            <w:left w:val="none" w:sz="0" w:space="0" w:color="auto"/>
            <w:bottom w:val="none" w:sz="0" w:space="0" w:color="auto"/>
            <w:right w:val="none" w:sz="0" w:space="0" w:color="auto"/>
          </w:divBdr>
          <w:divsChild>
            <w:div w:id="1987006423">
              <w:marLeft w:val="0"/>
              <w:marRight w:val="0"/>
              <w:marTop w:val="0"/>
              <w:marBottom w:val="0"/>
              <w:divBdr>
                <w:top w:val="none" w:sz="0" w:space="0" w:color="auto"/>
                <w:left w:val="none" w:sz="0" w:space="0" w:color="auto"/>
                <w:bottom w:val="none" w:sz="0" w:space="0" w:color="auto"/>
                <w:right w:val="none" w:sz="0" w:space="0" w:color="auto"/>
              </w:divBdr>
            </w:div>
          </w:divsChild>
        </w:div>
        <w:div w:id="681319487">
          <w:blockQuote w:val="1"/>
          <w:marLeft w:val="720"/>
          <w:marRight w:val="720"/>
          <w:marTop w:val="0"/>
          <w:marBottom w:val="0"/>
          <w:divBdr>
            <w:top w:val="none" w:sz="0" w:space="0" w:color="auto"/>
            <w:left w:val="none" w:sz="0" w:space="0" w:color="auto"/>
            <w:bottom w:val="none" w:sz="0" w:space="0" w:color="auto"/>
            <w:right w:val="none" w:sz="0" w:space="0" w:color="auto"/>
          </w:divBdr>
          <w:divsChild>
            <w:div w:id="642738721">
              <w:marLeft w:val="0"/>
              <w:marRight w:val="0"/>
              <w:marTop w:val="0"/>
              <w:marBottom w:val="0"/>
              <w:divBdr>
                <w:top w:val="none" w:sz="0" w:space="0" w:color="auto"/>
                <w:left w:val="none" w:sz="0" w:space="0" w:color="auto"/>
                <w:bottom w:val="none" w:sz="0" w:space="0" w:color="auto"/>
                <w:right w:val="none" w:sz="0" w:space="0" w:color="auto"/>
              </w:divBdr>
            </w:div>
            <w:div w:id="2066445838">
              <w:marLeft w:val="0"/>
              <w:marRight w:val="0"/>
              <w:marTop w:val="0"/>
              <w:marBottom w:val="0"/>
              <w:divBdr>
                <w:top w:val="none" w:sz="0" w:space="0" w:color="auto"/>
                <w:left w:val="none" w:sz="0" w:space="0" w:color="auto"/>
                <w:bottom w:val="none" w:sz="0" w:space="0" w:color="auto"/>
                <w:right w:val="none" w:sz="0" w:space="0" w:color="auto"/>
              </w:divBdr>
            </w:div>
          </w:divsChild>
        </w:div>
        <w:div w:id="811563378">
          <w:marLeft w:val="0"/>
          <w:marRight w:val="0"/>
          <w:marTop w:val="0"/>
          <w:marBottom w:val="0"/>
          <w:divBdr>
            <w:top w:val="none" w:sz="0" w:space="0" w:color="auto"/>
            <w:left w:val="none" w:sz="0" w:space="0" w:color="auto"/>
            <w:bottom w:val="none" w:sz="0" w:space="0" w:color="auto"/>
            <w:right w:val="none" w:sz="0" w:space="0" w:color="auto"/>
          </w:divBdr>
        </w:div>
        <w:div w:id="918100228">
          <w:marLeft w:val="0"/>
          <w:marRight w:val="0"/>
          <w:marTop w:val="0"/>
          <w:marBottom w:val="0"/>
          <w:divBdr>
            <w:top w:val="none" w:sz="0" w:space="0" w:color="auto"/>
            <w:left w:val="none" w:sz="0" w:space="0" w:color="auto"/>
            <w:bottom w:val="none" w:sz="0" w:space="0" w:color="auto"/>
            <w:right w:val="none" w:sz="0" w:space="0" w:color="auto"/>
          </w:divBdr>
        </w:div>
        <w:div w:id="972634099">
          <w:marLeft w:val="0"/>
          <w:marRight w:val="0"/>
          <w:marTop w:val="0"/>
          <w:marBottom w:val="0"/>
          <w:divBdr>
            <w:top w:val="none" w:sz="0" w:space="0" w:color="auto"/>
            <w:left w:val="none" w:sz="0" w:space="0" w:color="auto"/>
            <w:bottom w:val="none" w:sz="0" w:space="0" w:color="auto"/>
            <w:right w:val="none" w:sz="0" w:space="0" w:color="auto"/>
          </w:divBdr>
        </w:div>
        <w:div w:id="982806362">
          <w:blockQuote w:val="1"/>
          <w:marLeft w:val="720"/>
          <w:marRight w:val="720"/>
          <w:marTop w:val="0"/>
          <w:marBottom w:val="0"/>
          <w:divBdr>
            <w:top w:val="none" w:sz="0" w:space="0" w:color="auto"/>
            <w:left w:val="none" w:sz="0" w:space="0" w:color="auto"/>
            <w:bottom w:val="none" w:sz="0" w:space="0" w:color="auto"/>
            <w:right w:val="none" w:sz="0" w:space="0" w:color="auto"/>
          </w:divBdr>
          <w:divsChild>
            <w:div w:id="585727453">
              <w:marLeft w:val="0"/>
              <w:marRight w:val="0"/>
              <w:marTop w:val="0"/>
              <w:marBottom w:val="0"/>
              <w:divBdr>
                <w:top w:val="none" w:sz="0" w:space="0" w:color="auto"/>
                <w:left w:val="none" w:sz="0" w:space="0" w:color="auto"/>
                <w:bottom w:val="none" w:sz="0" w:space="0" w:color="auto"/>
                <w:right w:val="none" w:sz="0" w:space="0" w:color="auto"/>
              </w:divBdr>
            </w:div>
          </w:divsChild>
        </w:div>
        <w:div w:id="1706562244">
          <w:blockQuote w:val="1"/>
          <w:marLeft w:val="720"/>
          <w:marRight w:val="720"/>
          <w:marTop w:val="0"/>
          <w:marBottom w:val="0"/>
          <w:divBdr>
            <w:top w:val="none" w:sz="0" w:space="0" w:color="auto"/>
            <w:left w:val="none" w:sz="0" w:space="0" w:color="auto"/>
            <w:bottom w:val="none" w:sz="0" w:space="0" w:color="auto"/>
            <w:right w:val="none" w:sz="0" w:space="0" w:color="auto"/>
          </w:divBdr>
          <w:divsChild>
            <w:div w:id="1634024908">
              <w:blockQuote w:val="1"/>
              <w:marLeft w:val="720"/>
              <w:marRight w:val="720"/>
              <w:marTop w:val="0"/>
              <w:marBottom w:val="0"/>
              <w:divBdr>
                <w:top w:val="none" w:sz="0" w:space="0" w:color="auto"/>
                <w:left w:val="none" w:sz="0" w:space="0" w:color="auto"/>
                <w:bottom w:val="none" w:sz="0" w:space="0" w:color="auto"/>
                <w:right w:val="none" w:sz="0" w:space="0" w:color="auto"/>
              </w:divBdr>
              <w:divsChild>
                <w:div w:id="480075862">
                  <w:marLeft w:val="0"/>
                  <w:marRight w:val="0"/>
                  <w:marTop w:val="0"/>
                  <w:marBottom w:val="0"/>
                  <w:divBdr>
                    <w:top w:val="none" w:sz="0" w:space="0" w:color="auto"/>
                    <w:left w:val="none" w:sz="0" w:space="0" w:color="auto"/>
                    <w:bottom w:val="none" w:sz="0" w:space="0" w:color="auto"/>
                    <w:right w:val="none" w:sz="0" w:space="0" w:color="auto"/>
                  </w:divBdr>
                  <w:divsChild>
                    <w:div w:id="189531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006352">
          <w:marLeft w:val="0"/>
          <w:marRight w:val="0"/>
          <w:marTop w:val="0"/>
          <w:marBottom w:val="0"/>
          <w:divBdr>
            <w:top w:val="none" w:sz="0" w:space="0" w:color="auto"/>
            <w:left w:val="none" w:sz="0" w:space="0" w:color="auto"/>
            <w:bottom w:val="none" w:sz="0" w:space="0" w:color="auto"/>
            <w:right w:val="none" w:sz="0" w:space="0" w:color="auto"/>
          </w:divBdr>
        </w:div>
      </w:divsChild>
    </w:div>
    <w:div w:id="377247975">
      <w:bodyDiv w:val="1"/>
      <w:marLeft w:val="0"/>
      <w:marRight w:val="0"/>
      <w:marTop w:val="0"/>
      <w:marBottom w:val="0"/>
      <w:divBdr>
        <w:top w:val="none" w:sz="0" w:space="0" w:color="auto"/>
        <w:left w:val="none" w:sz="0" w:space="0" w:color="auto"/>
        <w:bottom w:val="none" w:sz="0" w:space="0" w:color="auto"/>
        <w:right w:val="none" w:sz="0" w:space="0" w:color="auto"/>
      </w:divBdr>
    </w:div>
    <w:div w:id="746264182">
      <w:bodyDiv w:val="1"/>
      <w:marLeft w:val="0"/>
      <w:marRight w:val="0"/>
      <w:marTop w:val="0"/>
      <w:marBottom w:val="0"/>
      <w:divBdr>
        <w:top w:val="none" w:sz="0" w:space="0" w:color="auto"/>
        <w:left w:val="none" w:sz="0" w:space="0" w:color="auto"/>
        <w:bottom w:val="none" w:sz="0" w:space="0" w:color="auto"/>
        <w:right w:val="none" w:sz="0" w:space="0" w:color="auto"/>
      </w:divBdr>
    </w:div>
    <w:div w:id="860314201">
      <w:bodyDiv w:val="1"/>
      <w:marLeft w:val="0"/>
      <w:marRight w:val="0"/>
      <w:marTop w:val="0"/>
      <w:marBottom w:val="0"/>
      <w:divBdr>
        <w:top w:val="none" w:sz="0" w:space="0" w:color="auto"/>
        <w:left w:val="none" w:sz="0" w:space="0" w:color="auto"/>
        <w:bottom w:val="none" w:sz="0" w:space="0" w:color="auto"/>
        <w:right w:val="none" w:sz="0" w:space="0" w:color="auto"/>
      </w:divBdr>
    </w:div>
    <w:div w:id="1333601324">
      <w:bodyDiv w:val="1"/>
      <w:marLeft w:val="0"/>
      <w:marRight w:val="0"/>
      <w:marTop w:val="0"/>
      <w:marBottom w:val="0"/>
      <w:divBdr>
        <w:top w:val="none" w:sz="0" w:space="0" w:color="auto"/>
        <w:left w:val="none" w:sz="0" w:space="0" w:color="auto"/>
        <w:bottom w:val="none" w:sz="0" w:space="0" w:color="auto"/>
        <w:right w:val="none" w:sz="0" w:space="0" w:color="auto"/>
      </w:divBdr>
      <w:divsChild>
        <w:div w:id="143669416">
          <w:marLeft w:val="0"/>
          <w:marRight w:val="0"/>
          <w:marTop w:val="0"/>
          <w:marBottom w:val="0"/>
          <w:divBdr>
            <w:top w:val="none" w:sz="0" w:space="0" w:color="auto"/>
            <w:left w:val="none" w:sz="0" w:space="0" w:color="auto"/>
            <w:bottom w:val="none" w:sz="0" w:space="0" w:color="auto"/>
            <w:right w:val="none" w:sz="0" w:space="0" w:color="auto"/>
          </w:divBdr>
        </w:div>
        <w:div w:id="233206135">
          <w:marLeft w:val="0"/>
          <w:marRight w:val="0"/>
          <w:marTop w:val="0"/>
          <w:marBottom w:val="0"/>
          <w:divBdr>
            <w:top w:val="none" w:sz="0" w:space="0" w:color="auto"/>
            <w:left w:val="none" w:sz="0" w:space="0" w:color="auto"/>
            <w:bottom w:val="none" w:sz="0" w:space="0" w:color="auto"/>
            <w:right w:val="none" w:sz="0" w:space="0" w:color="auto"/>
          </w:divBdr>
        </w:div>
        <w:div w:id="324285908">
          <w:marLeft w:val="0"/>
          <w:marRight w:val="0"/>
          <w:marTop w:val="0"/>
          <w:marBottom w:val="0"/>
          <w:divBdr>
            <w:top w:val="none" w:sz="0" w:space="0" w:color="auto"/>
            <w:left w:val="none" w:sz="0" w:space="0" w:color="auto"/>
            <w:bottom w:val="none" w:sz="0" w:space="0" w:color="auto"/>
            <w:right w:val="none" w:sz="0" w:space="0" w:color="auto"/>
          </w:divBdr>
        </w:div>
        <w:div w:id="503398561">
          <w:marLeft w:val="0"/>
          <w:marRight w:val="0"/>
          <w:marTop w:val="0"/>
          <w:marBottom w:val="0"/>
          <w:divBdr>
            <w:top w:val="none" w:sz="0" w:space="0" w:color="auto"/>
            <w:left w:val="none" w:sz="0" w:space="0" w:color="auto"/>
            <w:bottom w:val="none" w:sz="0" w:space="0" w:color="auto"/>
            <w:right w:val="none" w:sz="0" w:space="0" w:color="auto"/>
          </w:divBdr>
        </w:div>
        <w:div w:id="703792843">
          <w:blockQuote w:val="1"/>
          <w:marLeft w:val="720"/>
          <w:marRight w:val="720"/>
          <w:marTop w:val="0"/>
          <w:marBottom w:val="0"/>
          <w:divBdr>
            <w:top w:val="none" w:sz="0" w:space="0" w:color="auto"/>
            <w:left w:val="none" w:sz="0" w:space="0" w:color="auto"/>
            <w:bottom w:val="none" w:sz="0" w:space="0" w:color="auto"/>
            <w:right w:val="none" w:sz="0" w:space="0" w:color="auto"/>
          </w:divBdr>
          <w:divsChild>
            <w:div w:id="749737022">
              <w:marLeft w:val="0"/>
              <w:marRight w:val="0"/>
              <w:marTop w:val="0"/>
              <w:marBottom w:val="0"/>
              <w:divBdr>
                <w:top w:val="none" w:sz="0" w:space="0" w:color="auto"/>
                <w:left w:val="none" w:sz="0" w:space="0" w:color="auto"/>
                <w:bottom w:val="none" w:sz="0" w:space="0" w:color="auto"/>
                <w:right w:val="none" w:sz="0" w:space="0" w:color="auto"/>
              </w:divBdr>
            </w:div>
          </w:divsChild>
        </w:div>
        <w:div w:id="918753165">
          <w:blockQuote w:val="1"/>
          <w:marLeft w:val="720"/>
          <w:marRight w:val="720"/>
          <w:marTop w:val="0"/>
          <w:marBottom w:val="0"/>
          <w:divBdr>
            <w:top w:val="none" w:sz="0" w:space="0" w:color="auto"/>
            <w:left w:val="none" w:sz="0" w:space="0" w:color="auto"/>
            <w:bottom w:val="none" w:sz="0" w:space="0" w:color="auto"/>
            <w:right w:val="none" w:sz="0" w:space="0" w:color="auto"/>
          </w:divBdr>
          <w:divsChild>
            <w:div w:id="182017031">
              <w:marLeft w:val="0"/>
              <w:marRight w:val="0"/>
              <w:marTop w:val="0"/>
              <w:marBottom w:val="0"/>
              <w:divBdr>
                <w:top w:val="none" w:sz="0" w:space="0" w:color="auto"/>
                <w:left w:val="none" w:sz="0" w:space="0" w:color="auto"/>
                <w:bottom w:val="none" w:sz="0" w:space="0" w:color="auto"/>
                <w:right w:val="none" w:sz="0" w:space="0" w:color="auto"/>
              </w:divBdr>
            </w:div>
            <w:div w:id="343481668">
              <w:marLeft w:val="0"/>
              <w:marRight w:val="0"/>
              <w:marTop w:val="0"/>
              <w:marBottom w:val="0"/>
              <w:divBdr>
                <w:top w:val="none" w:sz="0" w:space="0" w:color="auto"/>
                <w:left w:val="none" w:sz="0" w:space="0" w:color="auto"/>
                <w:bottom w:val="none" w:sz="0" w:space="0" w:color="auto"/>
                <w:right w:val="none" w:sz="0" w:space="0" w:color="auto"/>
              </w:divBdr>
            </w:div>
            <w:div w:id="919869810">
              <w:marLeft w:val="0"/>
              <w:marRight w:val="0"/>
              <w:marTop w:val="0"/>
              <w:marBottom w:val="0"/>
              <w:divBdr>
                <w:top w:val="none" w:sz="0" w:space="0" w:color="auto"/>
                <w:left w:val="none" w:sz="0" w:space="0" w:color="auto"/>
                <w:bottom w:val="none" w:sz="0" w:space="0" w:color="auto"/>
                <w:right w:val="none" w:sz="0" w:space="0" w:color="auto"/>
              </w:divBdr>
            </w:div>
            <w:div w:id="1126773369">
              <w:marLeft w:val="0"/>
              <w:marRight w:val="0"/>
              <w:marTop w:val="0"/>
              <w:marBottom w:val="0"/>
              <w:divBdr>
                <w:top w:val="none" w:sz="0" w:space="0" w:color="auto"/>
                <w:left w:val="none" w:sz="0" w:space="0" w:color="auto"/>
                <w:bottom w:val="none" w:sz="0" w:space="0" w:color="auto"/>
                <w:right w:val="none" w:sz="0" w:space="0" w:color="auto"/>
              </w:divBdr>
            </w:div>
            <w:div w:id="1336687248">
              <w:marLeft w:val="0"/>
              <w:marRight w:val="0"/>
              <w:marTop w:val="0"/>
              <w:marBottom w:val="0"/>
              <w:divBdr>
                <w:top w:val="none" w:sz="0" w:space="0" w:color="auto"/>
                <w:left w:val="none" w:sz="0" w:space="0" w:color="auto"/>
                <w:bottom w:val="none" w:sz="0" w:space="0" w:color="auto"/>
                <w:right w:val="none" w:sz="0" w:space="0" w:color="auto"/>
              </w:divBdr>
            </w:div>
            <w:div w:id="1593974747">
              <w:marLeft w:val="0"/>
              <w:marRight w:val="0"/>
              <w:marTop w:val="0"/>
              <w:marBottom w:val="0"/>
              <w:divBdr>
                <w:top w:val="none" w:sz="0" w:space="0" w:color="auto"/>
                <w:left w:val="none" w:sz="0" w:space="0" w:color="auto"/>
                <w:bottom w:val="none" w:sz="0" w:space="0" w:color="auto"/>
                <w:right w:val="none" w:sz="0" w:space="0" w:color="auto"/>
              </w:divBdr>
            </w:div>
          </w:divsChild>
        </w:div>
        <w:div w:id="1444181534">
          <w:marLeft w:val="0"/>
          <w:marRight w:val="0"/>
          <w:marTop w:val="0"/>
          <w:marBottom w:val="0"/>
          <w:divBdr>
            <w:top w:val="none" w:sz="0" w:space="0" w:color="auto"/>
            <w:left w:val="none" w:sz="0" w:space="0" w:color="auto"/>
            <w:bottom w:val="none" w:sz="0" w:space="0" w:color="auto"/>
            <w:right w:val="none" w:sz="0" w:space="0" w:color="auto"/>
          </w:divBdr>
          <w:divsChild>
            <w:div w:id="549002131">
              <w:marLeft w:val="0"/>
              <w:marRight w:val="0"/>
              <w:marTop w:val="0"/>
              <w:marBottom w:val="0"/>
              <w:divBdr>
                <w:top w:val="none" w:sz="0" w:space="0" w:color="auto"/>
                <w:left w:val="none" w:sz="0" w:space="0" w:color="auto"/>
                <w:bottom w:val="none" w:sz="0" w:space="0" w:color="auto"/>
                <w:right w:val="none" w:sz="0" w:space="0" w:color="auto"/>
              </w:divBdr>
            </w:div>
            <w:div w:id="1634368369">
              <w:marLeft w:val="0"/>
              <w:marRight w:val="0"/>
              <w:marTop w:val="0"/>
              <w:marBottom w:val="0"/>
              <w:divBdr>
                <w:top w:val="none" w:sz="0" w:space="0" w:color="auto"/>
                <w:left w:val="none" w:sz="0" w:space="0" w:color="auto"/>
                <w:bottom w:val="none" w:sz="0" w:space="0" w:color="auto"/>
                <w:right w:val="none" w:sz="0" w:space="0" w:color="auto"/>
              </w:divBdr>
            </w:div>
          </w:divsChild>
        </w:div>
        <w:div w:id="1566333440">
          <w:blockQuote w:val="1"/>
          <w:marLeft w:val="720"/>
          <w:marRight w:val="720"/>
          <w:marTop w:val="0"/>
          <w:marBottom w:val="0"/>
          <w:divBdr>
            <w:top w:val="none" w:sz="0" w:space="0" w:color="auto"/>
            <w:left w:val="none" w:sz="0" w:space="0" w:color="auto"/>
            <w:bottom w:val="none" w:sz="0" w:space="0" w:color="auto"/>
            <w:right w:val="none" w:sz="0" w:space="0" w:color="auto"/>
          </w:divBdr>
          <w:divsChild>
            <w:div w:id="505561402">
              <w:marLeft w:val="0"/>
              <w:marRight w:val="0"/>
              <w:marTop w:val="0"/>
              <w:marBottom w:val="0"/>
              <w:divBdr>
                <w:top w:val="none" w:sz="0" w:space="0" w:color="auto"/>
                <w:left w:val="none" w:sz="0" w:space="0" w:color="auto"/>
                <w:bottom w:val="none" w:sz="0" w:space="0" w:color="auto"/>
                <w:right w:val="none" w:sz="0" w:space="0" w:color="auto"/>
              </w:divBdr>
            </w:div>
            <w:div w:id="1812206936">
              <w:marLeft w:val="0"/>
              <w:marRight w:val="0"/>
              <w:marTop w:val="0"/>
              <w:marBottom w:val="0"/>
              <w:divBdr>
                <w:top w:val="none" w:sz="0" w:space="0" w:color="auto"/>
                <w:left w:val="none" w:sz="0" w:space="0" w:color="auto"/>
                <w:bottom w:val="none" w:sz="0" w:space="0" w:color="auto"/>
                <w:right w:val="none" w:sz="0" w:space="0" w:color="auto"/>
              </w:divBdr>
            </w:div>
          </w:divsChild>
        </w:div>
        <w:div w:id="1627271305">
          <w:marLeft w:val="0"/>
          <w:marRight w:val="0"/>
          <w:marTop w:val="0"/>
          <w:marBottom w:val="0"/>
          <w:divBdr>
            <w:top w:val="none" w:sz="0" w:space="0" w:color="auto"/>
            <w:left w:val="none" w:sz="0" w:space="0" w:color="auto"/>
            <w:bottom w:val="none" w:sz="0" w:space="0" w:color="auto"/>
            <w:right w:val="none" w:sz="0" w:space="0" w:color="auto"/>
          </w:divBdr>
        </w:div>
      </w:divsChild>
    </w:div>
    <w:div w:id="1353218263">
      <w:bodyDiv w:val="1"/>
      <w:marLeft w:val="0"/>
      <w:marRight w:val="0"/>
      <w:marTop w:val="0"/>
      <w:marBottom w:val="0"/>
      <w:divBdr>
        <w:top w:val="none" w:sz="0" w:space="0" w:color="auto"/>
        <w:left w:val="none" w:sz="0" w:space="0" w:color="auto"/>
        <w:bottom w:val="none" w:sz="0" w:space="0" w:color="auto"/>
        <w:right w:val="none" w:sz="0" w:space="0" w:color="auto"/>
      </w:divBdr>
    </w:div>
    <w:div w:id="1529678260">
      <w:bodyDiv w:val="1"/>
      <w:marLeft w:val="0"/>
      <w:marRight w:val="0"/>
      <w:marTop w:val="0"/>
      <w:marBottom w:val="0"/>
      <w:divBdr>
        <w:top w:val="none" w:sz="0" w:space="0" w:color="auto"/>
        <w:left w:val="none" w:sz="0" w:space="0" w:color="auto"/>
        <w:bottom w:val="none" w:sz="0" w:space="0" w:color="auto"/>
        <w:right w:val="none" w:sz="0" w:space="0" w:color="auto"/>
      </w:divBdr>
    </w:div>
    <w:div w:id="1619988137">
      <w:bodyDiv w:val="1"/>
      <w:marLeft w:val="0"/>
      <w:marRight w:val="0"/>
      <w:marTop w:val="0"/>
      <w:marBottom w:val="0"/>
      <w:divBdr>
        <w:top w:val="none" w:sz="0" w:space="0" w:color="auto"/>
        <w:left w:val="none" w:sz="0" w:space="0" w:color="auto"/>
        <w:bottom w:val="none" w:sz="0" w:space="0" w:color="auto"/>
        <w:right w:val="none" w:sz="0" w:space="0" w:color="auto"/>
      </w:divBdr>
    </w:div>
    <w:div w:id="1727023623">
      <w:bodyDiv w:val="1"/>
      <w:marLeft w:val="0"/>
      <w:marRight w:val="0"/>
      <w:marTop w:val="0"/>
      <w:marBottom w:val="0"/>
      <w:divBdr>
        <w:top w:val="none" w:sz="0" w:space="0" w:color="auto"/>
        <w:left w:val="none" w:sz="0" w:space="0" w:color="auto"/>
        <w:bottom w:val="none" w:sz="0" w:space="0" w:color="auto"/>
        <w:right w:val="none" w:sz="0" w:space="0" w:color="auto"/>
      </w:divBdr>
      <w:divsChild>
        <w:div w:id="1052465309">
          <w:marLeft w:val="0"/>
          <w:marRight w:val="0"/>
          <w:marTop w:val="0"/>
          <w:marBottom w:val="0"/>
          <w:divBdr>
            <w:top w:val="none" w:sz="0" w:space="0" w:color="auto"/>
            <w:left w:val="none" w:sz="0" w:space="0" w:color="auto"/>
            <w:bottom w:val="none" w:sz="0" w:space="0" w:color="auto"/>
            <w:right w:val="none" w:sz="0" w:space="0" w:color="auto"/>
          </w:divBdr>
        </w:div>
        <w:div w:id="1724282084">
          <w:blockQuote w:val="1"/>
          <w:marLeft w:val="720"/>
          <w:marRight w:val="720"/>
          <w:marTop w:val="0"/>
          <w:marBottom w:val="0"/>
          <w:divBdr>
            <w:top w:val="none" w:sz="0" w:space="0" w:color="auto"/>
            <w:left w:val="none" w:sz="0" w:space="0" w:color="auto"/>
            <w:bottom w:val="none" w:sz="0" w:space="0" w:color="auto"/>
            <w:right w:val="none" w:sz="0" w:space="0" w:color="auto"/>
          </w:divBdr>
          <w:divsChild>
            <w:div w:id="472721076">
              <w:marLeft w:val="0"/>
              <w:marRight w:val="0"/>
              <w:marTop w:val="0"/>
              <w:marBottom w:val="0"/>
              <w:divBdr>
                <w:top w:val="none" w:sz="0" w:space="0" w:color="auto"/>
                <w:left w:val="none" w:sz="0" w:space="0" w:color="auto"/>
                <w:bottom w:val="none" w:sz="0" w:space="0" w:color="auto"/>
                <w:right w:val="none" w:sz="0" w:space="0" w:color="auto"/>
              </w:divBdr>
            </w:div>
            <w:div w:id="76488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737446">
      <w:bodyDiv w:val="1"/>
      <w:marLeft w:val="0"/>
      <w:marRight w:val="0"/>
      <w:marTop w:val="0"/>
      <w:marBottom w:val="0"/>
      <w:divBdr>
        <w:top w:val="none" w:sz="0" w:space="0" w:color="auto"/>
        <w:left w:val="none" w:sz="0" w:space="0" w:color="auto"/>
        <w:bottom w:val="none" w:sz="0" w:space="0" w:color="auto"/>
        <w:right w:val="none" w:sz="0" w:space="0" w:color="auto"/>
      </w:divBdr>
      <w:divsChild>
        <w:div w:id="219175448">
          <w:marLeft w:val="0"/>
          <w:marRight w:val="0"/>
          <w:marTop w:val="0"/>
          <w:marBottom w:val="0"/>
          <w:divBdr>
            <w:top w:val="none" w:sz="0" w:space="0" w:color="auto"/>
            <w:left w:val="none" w:sz="0" w:space="0" w:color="auto"/>
            <w:bottom w:val="none" w:sz="0" w:space="0" w:color="auto"/>
            <w:right w:val="none" w:sz="0" w:space="0" w:color="auto"/>
          </w:divBdr>
        </w:div>
        <w:div w:id="336929681">
          <w:marLeft w:val="0"/>
          <w:marRight w:val="0"/>
          <w:marTop w:val="0"/>
          <w:marBottom w:val="0"/>
          <w:divBdr>
            <w:top w:val="none" w:sz="0" w:space="0" w:color="auto"/>
            <w:left w:val="none" w:sz="0" w:space="0" w:color="auto"/>
            <w:bottom w:val="none" w:sz="0" w:space="0" w:color="auto"/>
            <w:right w:val="none" w:sz="0" w:space="0" w:color="auto"/>
          </w:divBdr>
        </w:div>
      </w:divsChild>
    </w:div>
    <w:div w:id="1912809443">
      <w:bodyDiv w:val="1"/>
      <w:marLeft w:val="0"/>
      <w:marRight w:val="0"/>
      <w:marTop w:val="0"/>
      <w:marBottom w:val="0"/>
      <w:divBdr>
        <w:top w:val="none" w:sz="0" w:space="0" w:color="auto"/>
        <w:left w:val="none" w:sz="0" w:space="0" w:color="auto"/>
        <w:bottom w:val="none" w:sz="0" w:space="0" w:color="auto"/>
        <w:right w:val="none" w:sz="0" w:space="0" w:color="auto"/>
      </w:divBdr>
      <w:divsChild>
        <w:div w:id="17245056">
          <w:blockQuote w:val="1"/>
          <w:marLeft w:val="720"/>
          <w:marRight w:val="720"/>
          <w:marTop w:val="0"/>
          <w:marBottom w:val="0"/>
          <w:divBdr>
            <w:top w:val="none" w:sz="0" w:space="0" w:color="auto"/>
            <w:left w:val="none" w:sz="0" w:space="0" w:color="auto"/>
            <w:bottom w:val="none" w:sz="0" w:space="0" w:color="auto"/>
            <w:right w:val="none" w:sz="0" w:space="0" w:color="auto"/>
          </w:divBdr>
          <w:divsChild>
            <w:div w:id="275865897">
              <w:marLeft w:val="0"/>
              <w:marRight w:val="0"/>
              <w:marTop w:val="0"/>
              <w:marBottom w:val="0"/>
              <w:divBdr>
                <w:top w:val="none" w:sz="0" w:space="0" w:color="auto"/>
                <w:left w:val="none" w:sz="0" w:space="0" w:color="auto"/>
                <w:bottom w:val="none" w:sz="0" w:space="0" w:color="auto"/>
                <w:right w:val="none" w:sz="0" w:space="0" w:color="auto"/>
              </w:divBdr>
            </w:div>
            <w:div w:id="856233818">
              <w:marLeft w:val="0"/>
              <w:marRight w:val="0"/>
              <w:marTop w:val="0"/>
              <w:marBottom w:val="0"/>
              <w:divBdr>
                <w:top w:val="none" w:sz="0" w:space="0" w:color="auto"/>
                <w:left w:val="none" w:sz="0" w:space="0" w:color="auto"/>
                <w:bottom w:val="none" w:sz="0" w:space="0" w:color="auto"/>
                <w:right w:val="none" w:sz="0" w:space="0" w:color="auto"/>
              </w:divBdr>
            </w:div>
            <w:div w:id="948199921">
              <w:marLeft w:val="0"/>
              <w:marRight w:val="0"/>
              <w:marTop w:val="0"/>
              <w:marBottom w:val="0"/>
              <w:divBdr>
                <w:top w:val="none" w:sz="0" w:space="0" w:color="auto"/>
                <w:left w:val="none" w:sz="0" w:space="0" w:color="auto"/>
                <w:bottom w:val="none" w:sz="0" w:space="0" w:color="auto"/>
                <w:right w:val="none" w:sz="0" w:space="0" w:color="auto"/>
              </w:divBdr>
            </w:div>
            <w:div w:id="1109621263">
              <w:marLeft w:val="0"/>
              <w:marRight w:val="0"/>
              <w:marTop w:val="0"/>
              <w:marBottom w:val="0"/>
              <w:divBdr>
                <w:top w:val="none" w:sz="0" w:space="0" w:color="auto"/>
                <w:left w:val="none" w:sz="0" w:space="0" w:color="auto"/>
                <w:bottom w:val="none" w:sz="0" w:space="0" w:color="auto"/>
                <w:right w:val="none" w:sz="0" w:space="0" w:color="auto"/>
              </w:divBdr>
            </w:div>
            <w:div w:id="1477528910">
              <w:marLeft w:val="0"/>
              <w:marRight w:val="0"/>
              <w:marTop w:val="0"/>
              <w:marBottom w:val="0"/>
              <w:divBdr>
                <w:top w:val="none" w:sz="0" w:space="0" w:color="auto"/>
                <w:left w:val="none" w:sz="0" w:space="0" w:color="auto"/>
                <w:bottom w:val="none" w:sz="0" w:space="0" w:color="auto"/>
                <w:right w:val="none" w:sz="0" w:space="0" w:color="auto"/>
              </w:divBdr>
            </w:div>
            <w:div w:id="1926453436">
              <w:marLeft w:val="0"/>
              <w:marRight w:val="0"/>
              <w:marTop w:val="0"/>
              <w:marBottom w:val="0"/>
              <w:divBdr>
                <w:top w:val="none" w:sz="0" w:space="0" w:color="auto"/>
                <w:left w:val="none" w:sz="0" w:space="0" w:color="auto"/>
                <w:bottom w:val="none" w:sz="0" w:space="0" w:color="auto"/>
                <w:right w:val="none" w:sz="0" w:space="0" w:color="auto"/>
              </w:divBdr>
            </w:div>
          </w:divsChild>
        </w:div>
        <w:div w:id="55706969">
          <w:marLeft w:val="0"/>
          <w:marRight w:val="0"/>
          <w:marTop w:val="0"/>
          <w:marBottom w:val="0"/>
          <w:divBdr>
            <w:top w:val="none" w:sz="0" w:space="0" w:color="auto"/>
            <w:left w:val="none" w:sz="0" w:space="0" w:color="auto"/>
            <w:bottom w:val="none" w:sz="0" w:space="0" w:color="auto"/>
            <w:right w:val="none" w:sz="0" w:space="0" w:color="auto"/>
          </w:divBdr>
        </w:div>
        <w:div w:id="522086250">
          <w:blockQuote w:val="1"/>
          <w:marLeft w:val="720"/>
          <w:marRight w:val="720"/>
          <w:marTop w:val="0"/>
          <w:marBottom w:val="0"/>
          <w:divBdr>
            <w:top w:val="none" w:sz="0" w:space="0" w:color="auto"/>
            <w:left w:val="none" w:sz="0" w:space="0" w:color="auto"/>
            <w:bottom w:val="none" w:sz="0" w:space="0" w:color="auto"/>
            <w:right w:val="none" w:sz="0" w:space="0" w:color="auto"/>
          </w:divBdr>
          <w:divsChild>
            <w:div w:id="905796699">
              <w:marLeft w:val="0"/>
              <w:marRight w:val="0"/>
              <w:marTop w:val="0"/>
              <w:marBottom w:val="0"/>
              <w:divBdr>
                <w:top w:val="none" w:sz="0" w:space="0" w:color="auto"/>
                <w:left w:val="none" w:sz="0" w:space="0" w:color="auto"/>
                <w:bottom w:val="none" w:sz="0" w:space="0" w:color="auto"/>
                <w:right w:val="none" w:sz="0" w:space="0" w:color="auto"/>
              </w:divBdr>
            </w:div>
            <w:div w:id="1045520188">
              <w:marLeft w:val="0"/>
              <w:marRight w:val="0"/>
              <w:marTop w:val="0"/>
              <w:marBottom w:val="0"/>
              <w:divBdr>
                <w:top w:val="none" w:sz="0" w:space="0" w:color="auto"/>
                <w:left w:val="none" w:sz="0" w:space="0" w:color="auto"/>
                <w:bottom w:val="none" w:sz="0" w:space="0" w:color="auto"/>
                <w:right w:val="none" w:sz="0" w:space="0" w:color="auto"/>
              </w:divBdr>
            </w:div>
          </w:divsChild>
        </w:div>
        <w:div w:id="920257809">
          <w:marLeft w:val="0"/>
          <w:marRight w:val="0"/>
          <w:marTop w:val="0"/>
          <w:marBottom w:val="0"/>
          <w:divBdr>
            <w:top w:val="none" w:sz="0" w:space="0" w:color="auto"/>
            <w:left w:val="none" w:sz="0" w:space="0" w:color="auto"/>
            <w:bottom w:val="none" w:sz="0" w:space="0" w:color="auto"/>
            <w:right w:val="none" w:sz="0" w:space="0" w:color="auto"/>
          </w:divBdr>
        </w:div>
        <w:div w:id="939337672">
          <w:marLeft w:val="0"/>
          <w:marRight w:val="0"/>
          <w:marTop w:val="0"/>
          <w:marBottom w:val="0"/>
          <w:divBdr>
            <w:top w:val="none" w:sz="0" w:space="0" w:color="auto"/>
            <w:left w:val="none" w:sz="0" w:space="0" w:color="auto"/>
            <w:bottom w:val="none" w:sz="0" w:space="0" w:color="auto"/>
            <w:right w:val="none" w:sz="0" w:space="0" w:color="auto"/>
          </w:divBdr>
        </w:div>
        <w:div w:id="1076126300">
          <w:marLeft w:val="0"/>
          <w:marRight w:val="0"/>
          <w:marTop w:val="0"/>
          <w:marBottom w:val="0"/>
          <w:divBdr>
            <w:top w:val="none" w:sz="0" w:space="0" w:color="auto"/>
            <w:left w:val="none" w:sz="0" w:space="0" w:color="auto"/>
            <w:bottom w:val="none" w:sz="0" w:space="0" w:color="auto"/>
            <w:right w:val="none" w:sz="0" w:space="0" w:color="auto"/>
          </w:divBdr>
          <w:divsChild>
            <w:div w:id="337315349">
              <w:marLeft w:val="0"/>
              <w:marRight w:val="0"/>
              <w:marTop w:val="0"/>
              <w:marBottom w:val="0"/>
              <w:divBdr>
                <w:top w:val="none" w:sz="0" w:space="0" w:color="auto"/>
                <w:left w:val="none" w:sz="0" w:space="0" w:color="auto"/>
                <w:bottom w:val="none" w:sz="0" w:space="0" w:color="auto"/>
                <w:right w:val="none" w:sz="0" w:space="0" w:color="auto"/>
              </w:divBdr>
            </w:div>
            <w:div w:id="1516384021">
              <w:marLeft w:val="0"/>
              <w:marRight w:val="0"/>
              <w:marTop w:val="0"/>
              <w:marBottom w:val="0"/>
              <w:divBdr>
                <w:top w:val="none" w:sz="0" w:space="0" w:color="auto"/>
                <w:left w:val="none" w:sz="0" w:space="0" w:color="auto"/>
                <w:bottom w:val="none" w:sz="0" w:space="0" w:color="auto"/>
                <w:right w:val="none" w:sz="0" w:space="0" w:color="auto"/>
              </w:divBdr>
            </w:div>
          </w:divsChild>
        </w:div>
        <w:div w:id="1127311557">
          <w:blockQuote w:val="1"/>
          <w:marLeft w:val="720"/>
          <w:marRight w:val="720"/>
          <w:marTop w:val="0"/>
          <w:marBottom w:val="0"/>
          <w:divBdr>
            <w:top w:val="none" w:sz="0" w:space="0" w:color="auto"/>
            <w:left w:val="none" w:sz="0" w:space="0" w:color="auto"/>
            <w:bottom w:val="none" w:sz="0" w:space="0" w:color="auto"/>
            <w:right w:val="none" w:sz="0" w:space="0" w:color="auto"/>
          </w:divBdr>
          <w:divsChild>
            <w:div w:id="1894462526">
              <w:marLeft w:val="0"/>
              <w:marRight w:val="0"/>
              <w:marTop w:val="0"/>
              <w:marBottom w:val="0"/>
              <w:divBdr>
                <w:top w:val="none" w:sz="0" w:space="0" w:color="auto"/>
                <w:left w:val="none" w:sz="0" w:space="0" w:color="auto"/>
                <w:bottom w:val="none" w:sz="0" w:space="0" w:color="auto"/>
                <w:right w:val="none" w:sz="0" w:space="0" w:color="auto"/>
              </w:divBdr>
            </w:div>
          </w:divsChild>
        </w:div>
        <w:div w:id="1791319255">
          <w:marLeft w:val="0"/>
          <w:marRight w:val="0"/>
          <w:marTop w:val="0"/>
          <w:marBottom w:val="0"/>
          <w:divBdr>
            <w:top w:val="none" w:sz="0" w:space="0" w:color="auto"/>
            <w:left w:val="none" w:sz="0" w:space="0" w:color="auto"/>
            <w:bottom w:val="none" w:sz="0" w:space="0" w:color="auto"/>
            <w:right w:val="none" w:sz="0" w:space="0" w:color="auto"/>
          </w:divBdr>
        </w:div>
        <w:div w:id="2065563906">
          <w:marLeft w:val="0"/>
          <w:marRight w:val="0"/>
          <w:marTop w:val="0"/>
          <w:marBottom w:val="0"/>
          <w:divBdr>
            <w:top w:val="none" w:sz="0" w:space="0" w:color="auto"/>
            <w:left w:val="none" w:sz="0" w:space="0" w:color="auto"/>
            <w:bottom w:val="none" w:sz="0" w:space="0" w:color="auto"/>
            <w:right w:val="none" w:sz="0" w:space="0" w:color="auto"/>
          </w:divBdr>
        </w:div>
      </w:divsChild>
    </w:div>
    <w:div w:id="2089571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package" Target="embeddings/Microsoft_PowerPoint_Presentation.pptx"/><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home.treasury.gov/system/files/136/NEU_Guidance.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oleObject" Target="embeddings/oleObject1.bin"/><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6311DE150D903647AF6595931C21CDC9" ma:contentTypeVersion="8" ma:contentTypeDescription="Create a new document." ma:contentTypeScope="" ma:versionID="30b60a475b6f0a2fd5fb43325dfec58b">
  <xsd:schema xmlns:xsd="http://www.w3.org/2001/XMLSchema" xmlns:xs="http://www.w3.org/2001/XMLSchema" xmlns:p="http://schemas.microsoft.com/office/2006/metadata/properties" xmlns:ns2="46c94151-13e3-46b9-aa39-9f69992faf53" xmlns:ns3="a00fdb7d-2dc8-4bac-9a07-5f057fe3f895" targetNamespace="http://schemas.microsoft.com/office/2006/metadata/properties" ma:root="true" ma:fieldsID="a0826fa23d907fe0d8e97d499f97dbd7" ns2:_="" ns3:_="">
    <xsd:import namespace="46c94151-13e3-46b9-aa39-9f69992faf53"/>
    <xsd:import namespace="a00fdb7d-2dc8-4bac-9a07-5f057fe3f89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c94151-13e3-46b9-aa39-9f69992faf5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00fdb7d-2dc8-4bac-9a07-5f057fe3f89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E7CAA02-B1C8-432B-A5A0-E02AF84796C1}">
  <ds:schemaRefs>
    <ds:schemaRef ds:uri="http://schemas.microsoft.com/sharepoint/v3/contenttype/forms"/>
  </ds:schemaRefs>
</ds:datastoreItem>
</file>

<file path=customXml/itemProps2.xml><?xml version="1.0" encoding="utf-8"?>
<ds:datastoreItem xmlns:ds="http://schemas.openxmlformats.org/officeDocument/2006/customXml" ds:itemID="{82A0D5BC-E541-479F-BBE2-DEEA8AD9CB80}">
  <ds:schemaRefs>
    <ds:schemaRef ds:uri="http://purl.org/dc/elements/1.1/"/>
    <ds:schemaRef ds:uri="http://schemas.microsoft.com/office/2006/documentManagement/types"/>
    <ds:schemaRef ds:uri="46c94151-13e3-46b9-aa39-9f69992faf53"/>
    <ds:schemaRef ds:uri="http://schemas.microsoft.com/office/infopath/2007/PartnerControls"/>
    <ds:schemaRef ds:uri="http://www.w3.org/XML/1998/namespace"/>
    <ds:schemaRef ds:uri="http://purl.org/dc/terms/"/>
    <ds:schemaRef ds:uri="http://purl.org/dc/dcmitype/"/>
    <ds:schemaRef ds:uri="http://schemas.openxmlformats.org/package/2006/metadata/core-properties"/>
    <ds:schemaRef ds:uri="http://schemas.microsoft.com/office/2006/metadata/properties"/>
    <ds:schemaRef ds:uri="a00fdb7d-2dc8-4bac-9a07-5f057fe3f895"/>
  </ds:schemaRefs>
</ds:datastoreItem>
</file>

<file path=customXml/itemProps3.xml><?xml version="1.0" encoding="utf-8"?>
<ds:datastoreItem xmlns:ds="http://schemas.openxmlformats.org/officeDocument/2006/customXml" ds:itemID="{263C9DC0-EBD8-4BEF-A0B0-16277BE223EB}">
  <ds:schemaRefs>
    <ds:schemaRef ds:uri="http://schemas.openxmlformats.org/officeDocument/2006/bibliography"/>
  </ds:schemaRefs>
</ds:datastoreItem>
</file>

<file path=customXml/itemProps4.xml><?xml version="1.0" encoding="utf-8"?>
<ds:datastoreItem xmlns:ds="http://schemas.openxmlformats.org/officeDocument/2006/customXml" ds:itemID="{1FE77ECC-A272-47EC-9930-CC0F647CD6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c94151-13e3-46b9-aa39-9f69992faf53"/>
    <ds:schemaRef ds:uri="a00fdb7d-2dc8-4bac-9a07-5f057fe3f8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1345</Words>
  <Characters>7669</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8997</CharactersWithSpaces>
  <SharedDoc>false</SharedDoc>
  <HLinks>
    <vt:vector size="6" baseType="variant">
      <vt:variant>
        <vt:i4>2490432</vt:i4>
      </vt:variant>
      <vt:variant>
        <vt:i4>6</vt:i4>
      </vt:variant>
      <vt:variant>
        <vt:i4>0</vt:i4>
      </vt:variant>
      <vt:variant>
        <vt:i4>5</vt:i4>
      </vt:variant>
      <vt:variant>
        <vt:lpwstr>https://home.treasury.gov/system/files/136/NEU_Guidance.pdf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Siddharth Ramachandran</dc:creator>
  <cp:keywords/>
  <dc:description/>
  <cp:lastModifiedBy>Hillary Thompson</cp:lastModifiedBy>
  <cp:revision>2</cp:revision>
  <dcterms:created xsi:type="dcterms:W3CDTF">2022-08-11T18:21:00Z</dcterms:created>
  <dcterms:modified xsi:type="dcterms:W3CDTF">2022-08-11T18:21:00Z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0x0101006311DE150D903647AF6595931C21CDC9</vt:lpwstr>
  </property>
</Properties>
</file>